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5408" behindDoc="1" locked="0" layoutInCell="1" allowOverlap="1">
                <wp:simplePos x="0" y="0"/>
                <wp:positionH relativeFrom="column">
                  <wp:posOffset>1912620</wp:posOffset>
                </wp:positionH>
                <wp:positionV relativeFrom="paragraph">
                  <wp:posOffset>-388620</wp:posOffset>
                </wp:positionV>
                <wp:extent cx="6071870" cy="7658100"/>
                <wp:effectExtent l="692785" t="0" r="0" b="945515"/>
                <wp:wrapNone/>
                <wp:docPr id="18" name="Isosceles Triangle 18"/>
                <wp:cNvGraphicFramePr/>
                <a:graphic xmlns:a="http://schemas.openxmlformats.org/drawingml/2006/main">
                  <a:graphicData uri="http://schemas.microsoft.com/office/word/2010/wordprocessingShape">
                    <wps:wsp>
                      <wps:cNvSpPr/>
                      <wps:spPr>
                        <a:xfrm rot="4468834">
                          <a:off x="0" y="0"/>
                          <a:ext cx="6071915" cy="765810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5" type="#_x0000_t5" style="position:absolute;left:0pt;margin-left:150.6pt;margin-top:-30.6pt;height:603pt;width:478.1pt;rotation:4881158f;z-index:-251651072;v-text-anchor:middle;mso-width-relative:page;mso-height-relative:page;" fillcolor="#FFFFFF [3212]" filled="t" stroked="t" coordsize="21600,21600" o:gfxdata="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ehsL9YAAAANAQAADwAAAAAAAAABACAAAAAiAAAAZHJzL2Rvd25yZXYu&#10;eG1sUEsBAhQAFAAAAAgAh07iQNaIW4VvAgAABgUAAA4AAAAAAAAAAQAgAAAAJQEAAGRycy9lMm9E&#10;b2MueG1sUEsFBgAAAAAGAAYAWQEAAAYGAAAAAA==&#10;" adj="10800">
                <v:fill on="t" focussize="0,0"/>
                <v:stroke weight="1pt" color="#FFFFFF [3212]"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1095375</wp:posOffset>
                </wp:positionH>
                <wp:positionV relativeFrom="paragraph">
                  <wp:posOffset>-47625</wp:posOffset>
                </wp:positionV>
                <wp:extent cx="4636770" cy="1009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6770" cy="1009650"/>
                        </a:xfrm>
                        <a:prstGeom prst="rect">
                          <a:avLst/>
                        </a:prstGeom>
                        <a:solidFill>
                          <a:sysClr val="window" lastClr="FFFFFF"/>
                        </a:solidFill>
                        <a:ln w="6350">
                          <a:noFill/>
                        </a:ln>
                        <a:effectLst/>
                      </wps:spPr>
                      <wps:txbx>
                        <w:txbxContent>
                          <w:p>
                            <w:pPr>
                              <w:pStyle w:val="12"/>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DINAS PERINDUSTRIAN, PERDAGANGAN, KOPERASI,                USAHA KECIL DAN MENENGAH </w:t>
                            </w:r>
                          </w:p>
                          <w:p>
                            <w:pPr>
                              <w:pStyle w:val="12"/>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KABUPATEN KEPULAUAN SELAYAR</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86.25pt;margin-top:-3.75pt;height:79.5pt;width:365.1pt;z-index:251662336;mso-width-relative:page;mso-height-relative:page;" fillcolor="#FFFFFF" filled="t" stroked="f" coordsize="21600,21600" o:gfxdata="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iQ4HtUAAAAKAQAADwAAAAAAAAABACAAAAAiAAAA&#10;ZHJzL2Rvd25yZXYueG1sUEsBAhQAFAAAAAgAh07iQIdXx/9DAgAAkwQAAA4AAAAAAAAAAQAgAAAA&#10;JAEAAGRycy9lMm9Eb2MueG1sUEsFBgAAAAAGAAYAWQEAANkFAAAAAA==&#10;">
                <v:fill on="t" focussize="0,0"/>
                <v:stroke on="f" weight="0.5pt"/>
                <v:imagedata o:title=""/>
                <o:lock v:ext="edit" aspectratio="f"/>
                <v:textbox>
                  <w:txbxContent>
                    <w:p>
                      <w:pPr>
                        <w:pStyle w:val="12"/>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 xml:space="preserve">DINAS PERINDUSTRIAN, PERDAGANGAN, KOPERASI,                USAHA KECIL DAN MENENGAH </w:t>
                      </w:r>
                    </w:p>
                    <w:p>
                      <w:pPr>
                        <w:pStyle w:val="12"/>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pPr>
                      <w:r>
                        <w:rPr>
                          <w:rFonts w:ascii="Adobe Gothic Std B" w:hAnsi="Adobe Gothic Std B" w:eastAsia="Adobe Gothic Std B"/>
                          <w:color w:val="000000" w:themeColor="text1"/>
                          <w:sz w:val="28"/>
                          <w14:shadow w14:blurRad="38100" w14:dist="19050" w14:dir="2700000" w14:sx="100000" w14:sy="100000" w14:kx="0" w14:ky="0" w14:algn="tl">
                            <w14:schemeClr w14:val="dk1">
                              <w14:alpha w14:val="60000"/>
                            </w14:schemeClr>
                          </w14:shadow>
                          <w14:textFill>
                            <w14:solidFill>
                              <w14:schemeClr w14:val="tx1"/>
                            </w14:solidFill>
                          </w14:textFill>
                        </w:rPr>
                        <w:t>KABUPATEN KEPULAUAN SELAYAR</w:t>
                      </w:r>
                    </w:p>
                  </w:txbxContent>
                </v:textbox>
              </v:shape>
            </w:pict>
          </mc:Fallback>
        </mc:AlternateContent>
      </w:r>
      <w:r>
        <w:drawing>
          <wp:anchor distT="0" distB="0" distL="114300" distR="114300" simplePos="0" relativeHeight="251663360" behindDoc="0" locked="0" layoutInCell="1" allowOverlap="1">
            <wp:simplePos x="0" y="0"/>
            <wp:positionH relativeFrom="column">
              <wp:posOffset>19050</wp:posOffset>
            </wp:positionH>
            <wp:positionV relativeFrom="paragraph">
              <wp:posOffset>19050</wp:posOffset>
            </wp:positionV>
            <wp:extent cx="988060" cy="914400"/>
            <wp:effectExtent l="38100" t="57150" r="40640" b="38100"/>
            <wp:wrapNone/>
            <wp:docPr id="11" name="Picture 11" descr="Image result for logo sela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logo selaya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8060" cy="914400"/>
                    </a:xfrm>
                    <a:prstGeom prst="rect">
                      <a:avLst/>
                    </a:prstGeom>
                    <a:noFill/>
                    <a:ln>
                      <a:noFill/>
                    </a:ln>
                    <a:effectLst>
                      <a:softEdge rad="0"/>
                    </a:effectLst>
                    <a:scene3d>
                      <a:camera prst="orthographicFront"/>
                      <a:lightRig rig="threePt" dir="t"/>
                    </a:scene3d>
                    <a:sp3d>
                      <a:bevelT w="114300" prst="artDeco"/>
                    </a:sp3d>
                  </pic:spPr>
                </pic:pic>
              </a:graphicData>
            </a:graphic>
          </wp:anchor>
        </w:drawing>
      </w:r>
    </w:p>
    <w:p/>
    <w:p/>
    <w:p/>
    <w:p>
      <w:pPr>
        <w:rPr>
          <w14:props3d w14:extrusionH="57150" w14:contourW="12700" w14:prstMaterial="metal">
            <w14:extrusionClr>
              <w14:srgbClr w14:val="FF0000"/>
            </w14:extrusionClr>
            <w14:contourClr>
              <w14:schemeClr w14:val="accent2"/>
            </w14:contourClr>
          </w14:props3d>
        </w:rPr>
      </w:pPr>
    </w:p>
    <w:p>
      <w:r>
        <w:drawing>
          <wp:anchor distT="0" distB="0" distL="114300" distR="114300" simplePos="0" relativeHeight="251664384" behindDoc="1" locked="0" layoutInCell="1" allowOverlap="1">
            <wp:simplePos x="0" y="0"/>
            <wp:positionH relativeFrom="column">
              <wp:posOffset>-1738630</wp:posOffset>
            </wp:positionH>
            <wp:positionV relativeFrom="paragraph">
              <wp:posOffset>339090</wp:posOffset>
            </wp:positionV>
            <wp:extent cx="9637395" cy="6142355"/>
            <wp:effectExtent l="0" t="508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l="33566" t="52020" r="33699" b="13399"/>
                    <a:stretch>
                      <a:fillRect/>
                    </a:stretch>
                  </pic:blipFill>
                  <pic:spPr>
                    <a:xfrm rot="5400000">
                      <a:off x="0" y="0"/>
                      <a:ext cx="9637601" cy="6142355"/>
                    </a:xfrm>
                    <a:prstGeom prst="rect">
                      <a:avLst/>
                    </a:prstGeom>
                    <a:ln>
                      <a:noFill/>
                    </a:ln>
                  </pic:spPr>
                </pic:pic>
              </a:graphicData>
            </a:graphic>
          </wp:anchor>
        </w:drawing>
      </w:r>
    </w:p>
    <w:p/>
    <w:p/>
    <w:p>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48260</wp:posOffset>
                </wp:positionV>
                <wp:extent cx="5848350" cy="996950"/>
                <wp:effectExtent l="19050" t="57150" r="0" b="17780"/>
                <wp:wrapNone/>
                <wp:docPr id="12" name="Text Box 12"/>
                <wp:cNvGraphicFramePr/>
                <a:graphic xmlns:a="http://schemas.openxmlformats.org/drawingml/2006/main">
                  <a:graphicData uri="http://schemas.microsoft.com/office/word/2010/wordprocessingShape">
                    <wps:wsp>
                      <wps:cNvSpPr txBox="1"/>
                      <wps:spPr>
                        <a:xfrm>
                          <a:off x="0" y="0"/>
                          <a:ext cx="5848350" cy="996950"/>
                        </a:xfrm>
                        <a:prstGeom prst="rect">
                          <a:avLst/>
                        </a:prstGeom>
                        <a:noFill/>
                        <a:ln>
                          <a:noFill/>
                        </a:ln>
                        <a:effectLst>
                          <a:outerShdw blurRad="50800" dist="38100" dir="13500000" algn="br" rotWithShape="0">
                            <a:prstClr val="black">
                              <a:alpha val="40000"/>
                            </a:prstClr>
                          </a:outerShdw>
                        </a:effectLst>
                      </wps:spPr>
                      <wps:txbx>
                        <w:txbxContent>
                          <w:p>
                            <w:pPr>
                              <w:pStyle w:val="12"/>
                              <w:jc w:val="center"/>
                              <w:rPr>
                                <w:b/>
                                <w:color w:val="000000" w:themeColor="text1"/>
                                <w:sz w:val="32"/>
                                <w:szCs w:val="72"/>
                                <w14:shadow w14:blurRad="38100" w14:dist="19050" w14:dir="2700000" w14:sx="100000" w14:sy="100000" w14:kx="0" w14:ky="0" w14:algn="tl">
                                  <w14:schemeClr w14:val="dk1">
                                    <w14:alpha w14:val="60000"/>
                                  </w14:schemeClr>
                                </w14:shadow>
                                <w14:textFill>
                                  <w14:solidFill>
                                    <w14:schemeClr w14:val="tx1"/>
                                  </w14:solidFill>
                                </w14:textFill>
                              </w:rPr>
                            </w:pPr>
                            <w:r>
                              <w:rPr>
                                <w:b/>
                                <w:color w:val="000000" w:themeColor="text1"/>
                                <w:sz w:val="96"/>
                                <w:szCs w:val="72"/>
                                <w14:shadow w14:blurRad="38100" w14:dist="19050" w14:dir="2700000" w14:sx="100000" w14:sy="100000" w14:kx="0" w14:ky="0" w14:algn="tl">
                                  <w14:schemeClr w14:val="dk1">
                                    <w14:alpha w14:val="60000"/>
                                  </w14:schemeClr>
                                </w14:shadow>
                                <w14:textFill>
                                  <w14:solidFill>
                                    <w14:schemeClr w14:val="tx1"/>
                                  </w14:solidFill>
                                </w14:textFill>
                              </w:rPr>
                              <w:t>RENSTRA</w:t>
                            </w:r>
                          </w:p>
                          <w:p>
                            <w:pPr>
                              <w:pStyle w:val="12"/>
                              <w:jc w:val="center"/>
                              <w:rPr>
                                <w:b/>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b/>
                                <w:color w:val="000000" w:themeColor="text1"/>
                                <w:sz w:val="36"/>
                                <w:szCs w:val="72"/>
                                <w14:shadow w14:blurRad="38100" w14:dist="19050" w14:dir="2700000" w14:sx="100000" w14:sy="100000" w14:kx="0" w14:ky="0" w14:algn="tl">
                                  <w14:schemeClr w14:val="dk1">
                                    <w14:alpha w14:val="60000"/>
                                  </w14:schemeClr>
                                </w14:shadow>
                                <w14:textFill>
                                  <w14:solidFill>
                                    <w14:schemeClr w14:val="tx1"/>
                                  </w14:solidFill>
                                </w14:textFill>
                              </w:rPr>
                              <w:t>( RENCANA STRATEGIS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3.8pt;height:78.5pt;width:460.5pt;z-index:251659264;mso-width-relative:page;mso-height-relative:page;" filled="f" stroked="f" coordsize="21600,21600" o:gfxdata="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nFET1AAAAAYBAAAPAAAAAAAAAAEAIAAAACIA&#10;AABkcnMvZG93bnJldi54bWxQSwECFAAUAAAACACHTuJAMrqSt38CAAAUBQAADgAAAAAAAAABACAA&#10;AAAjAQAAZHJzL2Uyb0RvYy54bWxQSwUGAAAAAAYABgBZAQAAFAYAAAAA&#10;">
                <v:fill on="f" focussize="0,0"/>
                <v:stroke on="f"/>
                <v:imagedata o:title=""/>
                <o:lock v:ext="edit" aspectratio="f"/>
                <v:shadow on="t" color="#000000" opacity="26214f" offset="-2.12133858267717pt,-2.12133858267717pt" origin="32768f,32768f" matrix="65536f,0f,0f,65536f"/>
                <v:textbox style="mso-fit-shape-to-text:t;">
                  <w:txbxContent>
                    <w:p>
                      <w:pPr>
                        <w:pStyle w:val="12"/>
                        <w:jc w:val="center"/>
                        <w:rPr>
                          <w:b/>
                          <w:color w:val="000000" w:themeColor="text1"/>
                          <w:sz w:val="32"/>
                          <w:szCs w:val="72"/>
                          <w14:shadow w14:blurRad="38100" w14:dist="19050" w14:dir="2700000" w14:sx="100000" w14:sy="100000" w14:kx="0" w14:ky="0" w14:algn="tl">
                            <w14:schemeClr w14:val="dk1">
                              <w14:alpha w14:val="60000"/>
                            </w14:schemeClr>
                          </w14:shadow>
                          <w14:textFill>
                            <w14:solidFill>
                              <w14:schemeClr w14:val="tx1"/>
                            </w14:solidFill>
                          </w14:textFill>
                        </w:rPr>
                      </w:pPr>
                      <w:r>
                        <w:rPr>
                          <w:b/>
                          <w:color w:val="000000" w:themeColor="text1"/>
                          <w:sz w:val="96"/>
                          <w:szCs w:val="72"/>
                          <w14:shadow w14:blurRad="38100" w14:dist="19050" w14:dir="2700000" w14:sx="100000" w14:sy="100000" w14:kx="0" w14:ky="0" w14:algn="tl">
                            <w14:schemeClr w14:val="dk1">
                              <w14:alpha w14:val="60000"/>
                            </w14:schemeClr>
                          </w14:shadow>
                          <w14:textFill>
                            <w14:solidFill>
                              <w14:schemeClr w14:val="tx1"/>
                            </w14:solidFill>
                          </w14:textFill>
                        </w:rPr>
                        <w:t>RENSTRA</w:t>
                      </w:r>
                    </w:p>
                    <w:p>
                      <w:pPr>
                        <w:pStyle w:val="12"/>
                        <w:jc w:val="center"/>
                        <w:rPr>
                          <w:b/>
                          <w:color w:val="000000" w:themeColor="text1"/>
                          <w:sz w:val="72"/>
                          <w:szCs w:val="72"/>
                          <w14:shadow w14:blurRad="38100" w14:dist="19050" w14:dir="2700000" w14:sx="100000" w14:sy="100000" w14:kx="0" w14:ky="0" w14:algn="tl">
                            <w14:schemeClr w14:val="dk1">
                              <w14:alpha w14:val="60000"/>
                            </w14:schemeClr>
                          </w14:shadow>
                          <w14:textFill>
                            <w14:solidFill>
                              <w14:schemeClr w14:val="tx1"/>
                            </w14:solidFill>
                          </w14:textFill>
                        </w:rPr>
                      </w:pPr>
                      <w:r>
                        <w:rPr>
                          <w:b/>
                          <w:color w:val="000000" w:themeColor="text1"/>
                          <w:sz w:val="36"/>
                          <w:szCs w:val="72"/>
                          <w14:shadow w14:blurRad="38100" w14:dist="19050" w14:dir="2700000" w14:sx="100000" w14:sy="100000" w14:kx="0" w14:ky="0" w14:algn="tl">
                            <w14:schemeClr w14:val="dk1">
                              <w14:alpha w14:val="60000"/>
                            </w14:schemeClr>
                          </w14:shadow>
                          <w14:textFill>
                            <w14:solidFill>
                              <w14:schemeClr w14:val="tx1"/>
                            </w14:solidFill>
                          </w14:textFill>
                        </w:rPr>
                        <w:t>( RENCANA STRATEGIS )</w:t>
                      </w:r>
                    </w:p>
                  </w:txbxContent>
                </v:textbox>
              </v:shape>
            </w:pict>
          </mc:Fallback>
        </mc:AlternateContent>
      </w:r>
    </w:p>
    <w:p/>
    <w:p/>
    <w:p/>
    <w:p>
      <w:r>
        <mc:AlternateContent>
          <mc:Choice Requires="wps">
            <w:drawing>
              <wp:anchor distT="0" distB="0" distL="114300" distR="114300" simplePos="0" relativeHeight="251661312" behindDoc="0" locked="0" layoutInCell="1" allowOverlap="1">
                <wp:simplePos x="0" y="0"/>
                <wp:positionH relativeFrom="column">
                  <wp:posOffset>1090930</wp:posOffset>
                </wp:positionH>
                <wp:positionV relativeFrom="paragraph">
                  <wp:posOffset>110490</wp:posOffset>
                </wp:positionV>
                <wp:extent cx="5466715" cy="996950"/>
                <wp:effectExtent l="19050" t="57150" r="0" b="8255"/>
                <wp:wrapNone/>
                <wp:docPr id="13" name="Text Box 13"/>
                <wp:cNvGraphicFramePr/>
                <a:graphic xmlns:a="http://schemas.openxmlformats.org/drawingml/2006/main">
                  <a:graphicData uri="http://schemas.microsoft.com/office/word/2010/wordprocessingShape">
                    <wps:wsp>
                      <wps:cNvSpPr txBox="1"/>
                      <wps:spPr>
                        <a:xfrm>
                          <a:off x="0" y="0"/>
                          <a:ext cx="5466715" cy="996950"/>
                        </a:xfrm>
                        <a:prstGeom prst="rect">
                          <a:avLst/>
                        </a:prstGeom>
                        <a:noFill/>
                        <a:ln>
                          <a:noFill/>
                        </a:ln>
                        <a:effectLst>
                          <a:outerShdw blurRad="50800" dist="38100" dir="13500000" algn="br" rotWithShape="0">
                            <a:prstClr val="black">
                              <a:alpha val="40000"/>
                            </a:prstClr>
                          </a:outerShdw>
                        </a:effectLst>
                      </wps:spPr>
                      <wps:txbx>
                        <w:txbxContent>
                          <w:p>
                            <w:pPr>
                              <w:pStyle w:val="12"/>
                              <w:jc w:val="right"/>
                              <w:rPr>
                                <w:color w:val="FF0000"/>
                                <w:sz w:val="72"/>
                                <w:szCs w:val="72"/>
                                <w14:shadow w14:blurRad="38100" w14:dist="19050" w14:dir="2700000" w14:sx="100000" w14:sy="100000" w14:kx="0" w14:ky="0" w14:algn="tl">
                                  <w14:schemeClr w14:val="dk1">
                                    <w14:alpha w14:val="60000"/>
                                  </w14:schemeClr>
                                </w14:shadow>
                              </w:rPr>
                            </w:pPr>
                            <w:r>
                              <w:rPr>
                                <w:color w:val="FF0000"/>
                                <w:sz w:val="72"/>
                                <w:szCs w:val="72"/>
                                <w14:shadow w14:blurRad="38100" w14:dist="19050" w14:dir="2700000" w14:sx="100000" w14:sy="100000" w14:kx="0" w14:ky="0" w14:algn="tl">
                                  <w14:schemeClr w14:val="dk1">
                                    <w14:alpha w14:val="60000"/>
                                  </w14:schemeClr>
                                </w14:shadow>
                              </w:rPr>
                              <w:t>TAHUN 2021-2026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5.9pt;margin-top:8.7pt;height:78.5pt;width:430.45pt;mso-wrap-style:none;z-index:251661312;mso-width-relative:page;mso-height-relative:page;" filled="f" stroked="f" coordsize="21600,21600" o:gfxdata="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WZBIdkAAAALAQAADwAAAAAAAAAB&#10;ACAAAAAiAAAAZHJzL2Rvd25yZXYueG1sUEsBAhQAFAAAAAgAh07iQLCuqRaBAgAAEgUAAA4AAAAA&#10;AAAAAQAgAAAAKAEAAGRycy9lMm9Eb2MueG1sUEsFBgAAAAAGAAYAWQEAABsGAAAAAA==&#10;">
                <v:fill on="f" focussize="0,0"/>
                <v:stroke on="f"/>
                <v:imagedata o:title=""/>
                <o:lock v:ext="edit" aspectratio="f"/>
                <v:shadow on="t" color="#000000" opacity="26214f" offset="-2.12133858267717pt,-2.12133858267717pt" origin="32768f,32768f" matrix="65536f,0f,0f,65536f"/>
                <v:textbox style="mso-fit-shape-to-text:t;">
                  <w:txbxContent>
                    <w:p>
                      <w:pPr>
                        <w:pStyle w:val="12"/>
                        <w:jc w:val="right"/>
                        <w:rPr>
                          <w:color w:val="FF0000"/>
                          <w:sz w:val="72"/>
                          <w:szCs w:val="72"/>
                          <w14:shadow w14:blurRad="38100" w14:dist="19050" w14:dir="2700000" w14:sx="100000" w14:sy="100000" w14:kx="0" w14:ky="0" w14:algn="tl">
                            <w14:schemeClr w14:val="dk1">
                              <w14:alpha w14:val="60000"/>
                            </w14:schemeClr>
                          </w14:shadow>
                        </w:rPr>
                      </w:pPr>
                      <w:r>
                        <w:rPr>
                          <w:color w:val="FF0000"/>
                          <w:sz w:val="72"/>
                          <w:szCs w:val="72"/>
                          <w14:shadow w14:blurRad="38100" w14:dist="19050" w14:dir="2700000" w14:sx="100000" w14:sy="100000" w14:kx="0" w14:ky="0" w14:algn="tl">
                            <w14:schemeClr w14:val="dk1">
                              <w14:alpha w14:val="60000"/>
                            </w14:schemeClr>
                          </w14:shadow>
                        </w:rPr>
                        <w:t>TAHUN 2021-2026</w:t>
                      </w:r>
                    </w:p>
                  </w:txbxContent>
                </v:textbox>
              </v:shape>
            </w:pict>
          </mc:Fallback>
        </mc:AlternateContent>
      </w:r>
    </w:p>
    <w:p/>
    <w:p/>
    <w:p/>
    <w:p/>
    <w:p/>
    <w:p/>
    <w:p/>
    <w:p/>
    <w:p/>
    <w:p/>
    <w:p/>
    <w:p>
      <w:pPr>
        <w:sectPr>
          <w:footerReference r:id="rId5" w:type="default"/>
          <w:pgSz w:w="12242" w:h="20163"/>
          <w:pgMar w:top="1440" w:right="1440" w:bottom="567" w:left="1440" w:header="720" w:footer="720" w:gutter="0"/>
          <w:cols w:space="720" w:num="1"/>
          <w:docGrid w:linePitch="360" w:charSpace="0"/>
        </w:sectPr>
      </w:pPr>
    </w:p>
    <w:p>
      <w:pPr>
        <w:tabs>
          <w:tab w:val="left" w:pos="4536"/>
          <w:tab w:val="left" w:pos="4820"/>
          <w:tab w:val="left" w:pos="5387"/>
        </w:tabs>
        <w:spacing w:after="0" w:line="360" w:lineRule="auto"/>
        <w:ind w:left="851" w:hanging="425"/>
        <w:jc w:val="center"/>
        <w:outlineLvl w:val="0"/>
        <w:rPr>
          <w:rFonts w:ascii="Bookman Old Style" w:hAnsi="Bookman Old Style" w:eastAsia="Times New Roman" w:cs="Tahoma"/>
          <w:b/>
          <w:sz w:val="24"/>
          <w:szCs w:val="24"/>
        </w:rPr>
      </w:pPr>
      <w:r>
        <w:rPr>
          <w:rFonts w:ascii="Bookman Old Style" w:hAnsi="Bookman Old Style" w:eastAsia="Times New Roman" w:cs="Tahoma"/>
          <w:b/>
          <w:sz w:val="24"/>
          <w:szCs w:val="24"/>
        </w:rPr>
        <w:t>KATA PENGANTAR</w:t>
      </w:r>
    </w:p>
    <w:p>
      <w:pPr>
        <w:tabs>
          <w:tab w:val="left" w:pos="4536"/>
          <w:tab w:val="left" w:pos="4820"/>
          <w:tab w:val="left" w:pos="5387"/>
        </w:tabs>
        <w:spacing w:after="0" w:line="360" w:lineRule="auto"/>
        <w:ind w:left="851" w:hanging="425"/>
        <w:jc w:val="center"/>
        <w:rPr>
          <w:rFonts w:ascii="Bookman Old Style" w:hAnsi="Bookman Old Style" w:eastAsia="Times New Roman" w:cs="Tahoma"/>
          <w:b/>
          <w:sz w:val="10"/>
          <w:szCs w:val="24"/>
        </w:rPr>
      </w:pPr>
    </w:p>
    <w:p>
      <w:pPr>
        <w:tabs>
          <w:tab w:val="left" w:pos="851"/>
        </w:tabs>
        <w:autoSpaceDE w:val="0"/>
        <w:autoSpaceDN w:val="0"/>
        <w:adjustRightInd w:val="0"/>
        <w:spacing w:after="0" w:line="360" w:lineRule="auto"/>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Dengan memanjatkan puji dan syukur ke hadirat Allah SWT, serta berbekal semangat pengabdian yang tulus kepada negara dan masyarakat, maka Rencana Strategis Dinas Perdagangan, Koperasi dan Usaha Kecil dan Menengah Kabupaten Kepulauan Selayar Tahun 2021-2026 dapat disusun dengan mengacu kepada Rencana Strategis Pemerintah Daerah Kabupaten Kepulauan Selayar serta antisipasi terhadap kebutuhan pembangunan kedepan.</w:t>
      </w:r>
    </w:p>
    <w:p>
      <w:pPr>
        <w:tabs>
          <w:tab w:val="left" w:pos="851"/>
        </w:tabs>
        <w:autoSpaceDE w:val="0"/>
        <w:autoSpaceDN w:val="0"/>
        <w:adjustRightInd w:val="0"/>
        <w:spacing w:after="0" w:line="360" w:lineRule="auto"/>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Rencana Strategis Dinas Perdagangan, Koperasi dan Usaha Kecil dan Menengah Kabupaten Kepulauan Selayar disusun dengan berdasarkan pada pencapaian visi Pemerintah Kabupaten Kepulauan Selayar yang berorientasi pada hasil yang sudah mempertimbangkan kekuatan, kelemahan dan besarnya peluang yang ada sekaligus melihat tantangan yang dihadapi, serta memprediksi jawaban atas perkembangan ilmu pengetahuan dan teknologi, dan teknologi informasi dalam mendukung pembangunan ekonomi masyarakat dan daya saing daerah.</w:t>
      </w:r>
    </w:p>
    <w:p>
      <w:pPr>
        <w:tabs>
          <w:tab w:val="left" w:pos="851"/>
        </w:tabs>
        <w:autoSpaceDE w:val="0"/>
        <w:autoSpaceDN w:val="0"/>
        <w:adjustRightInd w:val="0"/>
        <w:spacing w:after="0" w:line="360" w:lineRule="auto"/>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Semoga dokumen Rencana Strategis Dinas Perdagangan, Koperasi, Usaha Kecil dan Menengah Kabupaten Kepulauan Selayar ini dapat meningkatkan akuntabilitas, responsibilitas, dan kemandirian didalam mencapai tujuan organisasi, Amin.</w:t>
      </w:r>
    </w:p>
    <w:p>
      <w:pPr>
        <w:tabs>
          <w:tab w:val="left" w:pos="4536"/>
          <w:tab w:val="left" w:pos="4820"/>
          <w:tab w:val="left" w:pos="5387"/>
        </w:tabs>
        <w:spacing w:after="0" w:line="360" w:lineRule="auto"/>
        <w:ind w:firstLine="851"/>
        <w:jc w:val="both"/>
        <w:rPr>
          <w:rFonts w:ascii="Bookman Old Style" w:hAnsi="Bookman Old Style" w:eastAsia="Times New Roman" w:cs="Tahoma"/>
          <w:sz w:val="24"/>
          <w:szCs w:val="24"/>
        </w:rPr>
      </w:pPr>
    </w:p>
    <w:p>
      <w:pPr>
        <w:tabs>
          <w:tab w:val="left" w:pos="4536"/>
          <w:tab w:val="left" w:pos="4820"/>
          <w:tab w:val="left" w:pos="5387"/>
        </w:tabs>
        <w:spacing w:after="0" w:line="360" w:lineRule="auto"/>
        <w:ind w:firstLine="851"/>
        <w:jc w:val="both"/>
        <w:rPr>
          <w:rFonts w:ascii="Bookman Old Style" w:hAnsi="Bookman Old Style" w:eastAsia="Times New Roman" w:cs="Tahoma"/>
          <w:sz w:val="24"/>
          <w:szCs w:val="24"/>
        </w:rPr>
      </w:pPr>
      <w:r>
        <w:rPr>
          <w:rFonts w:ascii="Bookman Old Style" w:hAnsi="Bookman Old Style" w:eastAsia="Times New Roman" w:cs="Tahoma"/>
          <w:sz w:val="24"/>
          <w:szCs w:val="24"/>
        </w:rPr>
        <w:tab/>
      </w:r>
      <w:r>
        <w:rPr>
          <w:rFonts w:ascii="Bookman Old Style" w:hAnsi="Bookman Old Style" w:eastAsia="Times New Roman" w:cs="Tahoma"/>
          <w:sz w:val="24"/>
          <w:szCs w:val="24"/>
        </w:rPr>
        <w:t>Benteng, 15 Agustus 2023</w:t>
      </w:r>
    </w:p>
    <w:tbl>
      <w:tblPr>
        <w:tblStyle w:val="4"/>
        <w:tblpPr w:leftFromText="180" w:rightFromText="180" w:vertAnchor="text" w:horzAnchor="page" w:tblpX="6329" w:tblpY="2"/>
        <w:tblW w:w="4514" w:type="dxa"/>
        <w:tblInd w:w="0" w:type="dxa"/>
        <w:tblLayout w:type="autofit"/>
        <w:tblCellMar>
          <w:top w:w="0" w:type="dxa"/>
          <w:left w:w="108" w:type="dxa"/>
          <w:bottom w:w="0" w:type="dxa"/>
          <w:right w:w="108" w:type="dxa"/>
        </w:tblCellMar>
      </w:tblPr>
      <w:tblGrid>
        <w:gridCol w:w="4514"/>
      </w:tblGrid>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b/>
                <w:bCs/>
                <w:color w:val="000000"/>
                <w:sz w:val="24"/>
                <w:szCs w:val="24"/>
              </w:rPr>
            </w:pPr>
            <w:r>
              <w:rPr>
                <w:rFonts w:ascii="Bookman Old Style" w:hAnsi="Bookman Old Style" w:eastAsia="Times New Roman" w:cs="Tahoma"/>
                <w:b/>
                <w:bCs/>
                <w:color w:val="000000"/>
                <w:sz w:val="24"/>
                <w:szCs w:val="24"/>
              </w:rPr>
              <w:t xml:space="preserve">KEPALA DINAS </w:t>
            </w: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24"/>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14"/>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14"/>
                <w:szCs w:val="24"/>
              </w:rPr>
            </w:pPr>
          </w:p>
          <w:p>
            <w:pPr>
              <w:spacing w:after="0" w:line="240" w:lineRule="auto"/>
              <w:rPr>
                <w:rFonts w:ascii="Bookman Old Style" w:hAnsi="Bookman Old Style" w:eastAsia="Times New Roman" w:cs="Tahoma"/>
                <w:color w:val="000000"/>
                <w:sz w:val="14"/>
                <w:szCs w:val="24"/>
              </w:rPr>
            </w:pPr>
          </w:p>
          <w:p>
            <w:pPr>
              <w:spacing w:after="0" w:line="240" w:lineRule="auto"/>
              <w:rPr>
                <w:rFonts w:ascii="Bookman Old Style" w:hAnsi="Bookman Old Style" w:eastAsia="Times New Roman" w:cs="Tahoma"/>
                <w:color w:val="000000"/>
                <w:sz w:val="14"/>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b/>
                <w:bCs/>
                <w:color w:val="000000"/>
                <w:sz w:val="24"/>
                <w:szCs w:val="24"/>
                <w:u w:val="single"/>
              </w:rPr>
            </w:pPr>
            <w:r>
              <w:rPr>
                <w:rFonts w:ascii="Bookman Old Style" w:hAnsi="Bookman Old Style" w:eastAsia="Times New Roman" w:cs="Tahoma"/>
                <w:b/>
                <w:bCs/>
                <w:color w:val="000000"/>
                <w:sz w:val="24"/>
                <w:szCs w:val="24"/>
                <w:u w:val="single"/>
              </w:rPr>
              <w:t>ANDI ABDURRAHMAN, S.E., M.Si</w:t>
            </w:r>
          </w:p>
        </w:tc>
      </w:tr>
      <w:tr>
        <w:tblPrEx>
          <w:tblCellMar>
            <w:top w:w="0" w:type="dxa"/>
            <w:left w:w="108" w:type="dxa"/>
            <w:bottom w:w="0" w:type="dxa"/>
            <w:right w:w="108" w:type="dxa"/>
          </w:tblCellMar>
        </w:tblPrEx>
        <w:trPr>
          <w:trHeight w:val="289"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Cs w:val="24"/>
              </w:rPr>
            </w:pPr>
            <w:r>
              <w:rPr>
                <w:rFonts w:ascii="Bookman Old Style" w:hAnsi="Bookman Old Style" w:eastAsia="Times New Roman" w:cs="Tahoma"/>
                <w:color w:val="000000"/>
                <w:szCs w:val="24"/>
              </w:rPr>
              <w:t>Pangkat : Pembina Utama Muda</w:t>
            </w:r>
          </w:p>
        </w:tc>
      </w:tr>
      <w:tr>
        <w:tblPrEx>
          <w:tblCellMar>
            <w:top w:w="0" w:type="dxa"/>
            <w:left w:w="108" w:type="dxa"/>
            <w:bottom w:w="0" w:type="dxa"/>
            <w:right w:w="108" w:type="dxa"/>
          </w:tblCellMar>
        </w:tblPrEx>
        <w:trPr>
          <w:trHeight w:val="289"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Cs w:val="24"/>
              </w:rPr>
            </w:pPr>
            <w:r>
              <w:rPr>
                <w:rFonts w:ascii="Bookman Old Style" w:hAnsi="Bookman Old Style" w:eastAsia="Times New Roman" w:cs="Tahoma"/>
                <w:color w:val="000000"/>
                <w:szCs w:val="24"/>
              </w:rPr>
              <w:t xml:space="preserve">NIP. </w:t>
            </w:r>
            <w:r>
              <w:rPr>
                <w:rFonts w:ascii="Bookman Old Style" w:hAnsi="Bookman Old Style" w:eastAsia="Times New Roman" w:cs="Tahoma"/>
                <w:szCs w:val="24"/>
              </w:rPr>
              <w:t xml:space="preserve"> 19670526 199703 1 005</w:t>
            </w:r>
          </w:p>
        </w:tc>
      </w:tr>
    </w:tbl>
    <w:p>
      <w:pPr>
        <w:spacing w:after="0" w:line="480" w:lineRule="auto"/>
        <w:jc w:val="center"/>
        <w:rPr>
          <w:rFonts w:ascii="Bookman Old Style" w:hAnsi="Bookman Old Style" w:eastAsia="Times New Roman" w:cs="Tahoma"/>
          <w:b/>
          <w:sz w:val="24"/>
          <w:szCs w:val="24"/>
        </w:rPr>
      </w:pPr>
    </w:p>
    <w:p>
      <w:pPr>
        <w:spacing w:after="0" w:line="480" w:lineRule="auto"/>
        <w:jc w:val="center"/>
        <w:rPr>
          <w:rFonts w:ascii="Bookman Old Style" w:hAnsi="Bookman Old Style" w:eastAsia="Times New Roman" w:cs="Tahoma"/>
          <w:b/>
          <w:sz w:val="24"/>
          <w:szCs w:val="24"/>
        </w:rPr>
      </w:pPr>
    </w:p>
    <w:p>
      <w:pPr>
        <w:spacing w:after="0" w:line="480" w:lineRule="auto"/>
        <w:jc w:val="right"/>
        <w:rPr>
          <w:rFonts w:ascii="Bookman Old Style" w:hAnsi="Bookman Old Style" w:eastAsia="Times New Roman" w:cs="Tahoma"/>
          <w:b/>
          <w:sz w:val="24"/>
          <w:szCs w:val="24"/>
        </w:rPr>
      </w:pPr>
    </w:p>
    <w:p>
      <w:pPr>
        <w:spacing w:after="0" w:line="480" w:lineRule="auto"/>
        <w:jc w:val="center"/>
        <w:rPr>
          <w:rFonts w:ascii="Bookman Old Style" w:hAnsi="Bookman Old Style" w:eastAsia="Times New Roman" w:cs="Tahoma"/>
          <w:b/>
          <w:sz w:val="24"/>
          <w:szCs w:val="24"/>
        </w:rPr>
      </w:pPr>
    </w:p>
    <w:p>
      <w:pPr>
        <w:spacing w:after="0" w:line="480" w:lineRule="auto"/>
        <w:jc w:val="center"/>
        <w:rPr>
          <w:rFonts w:ascii="Bookman Old Style" w:hAnsi="Bookman Old Style" w:eastAsia="Times New Roman" w:cs="Tahoma"/>
          <w:b/>
          <w:sz w:val="24"/>
          <w:szCs w:val="24"/>
        </w:rPr>
      </w:pPr>
    </w:p>
    <w:p>
      <w:pPr>
        <w:spacing w:after="0" w:line="480" w:lineRule="auto"/>
        <w:jc w:val="both"/>
        <w:rPr>
          <w:rFonts w:ascii="Bookman Old Style" w:hAnsi="Bookman Old Style" w:eastAsia="Times New Roman" w:cs="Tahoma"/>
          <w:b/>
          <w:sz w:val="24"/>
          <w:szCs w:val="24"/>
        </w:rPr>
      </w:pPr>
    </w:p>
    <w:p>
      <w:pPr>
        <w:spacing w:after="0" w:line="480" w:lineRule="auto"/>
        <w:jc w:val="both"/>
        <w:rPr>
          <w:rFonts w:ascii="Bookman Old Style" w:hAnsi="Bookman Old Style" w:eastAsia="Times New Roman" w:cs="Tahoma"/>
          <w:b/>
          <w:sz w:val="24"/>
          <w:szCs w:val="24"/>
        </w:rPr>
      </w:pPr>
    </w:p>
    <w:p>
      <w:pPr>
        <w:spacing w:after="0" w:line="360" w:lineRule="auto"/>
        <w:jc w:val="center"/>
        <w:outlineLvl w:val="0"/>
        <w:rPr>
          <w:rFonts w:ascii="Bookman Old Style" w:hAnsi="Bookman Old Style" w:eastAsia="Times New Roman" w:cs="Tahoma"/>
          <w:b/>
          <w:sz w:val="24"/>
          <w:szCs w:val="24"/>
        </w:rPr>
      </w:pPr>
      <w:r>
        <w:rPr>
          <w:rFonts w:ascii="Bookman Old Style" w:hAnsi="Bookman Old Style" w:eastAsia="Times New Roman" w:cs="Tahoma"/>
          <w:b/>
          <w:sz w:val="24"/>
          <w:szCs w:val="24"/>
        </w:rPr>
        <w:t>DAFTAR ISI</w:t>
      </w:r>
    </w:p>
    <w:p>
      <w:pPr>
        <w:spacing w:after="0" w:line="360" w:lineRule="auto"/>
        <w:jc w:val="center"/>
        <w:rPr>
          <w:rFonts w:ascii="Bookman Old Style" w:hAnsi="Bookman Old Style" w:eastAsia="Times New Roman" w:cs="Tahoma"/>
          <w:b/>
          <w:sz w:val="24"/>
          <w:szCs w:val="24"/>
        </w:rPr>
      </w:pPr>
    </w:p>
    <w:p>
      <w:pPr>
        <w:tabs>
          <w:tab w:val="left" w:leader="dot" w:pos="8820"/>
          <w:tab w:val="right" w:pos="9360"/>
        </w:tabs>
        <w:spacing w:after="0" w:line="480" w:lineRule="auto"/>
        <w:outlineLvl w:val="0"/>
        <w:rPr>
          <w:rFonts w:ascii="Bookman Old Style" w:hAnsi="Bookman Old Style" w:eastAsia="Times New Roman" w:cs="Tahoma"/>
          <w:b/>
          <w:sz w:val="24"/>
          <w:szCs w:val="24"/>
          <w:lang w:val="id-ID"/>
        </w:rPr>
      </w:pPr>
      <w:r>
        <w:rPr>
          <w:rFonts w:ascii="Bookman Old Style" w:hAnsi="Bookman Old Style" w:eastAsia="Times New Roman" w:cs="Tahoma"/>
          <w:b/>
          <w:sz w:val="24"/>
          <w:szCs w:val="24"/>
          <w:lang w:val="id-ID"/>
        </w:rPr>
        <w:t xml:space="preserve">SAMPUL </w:t>
      </w:r>
    </w:p>
    <w:p>
      <w:pPr>
        <w:tabs>
          <w:tab w:val="left" w:leader="dot" w:pos="8820"/>
          <w:tab w:val="right" w:pos="9214"/>
        </w:tabs>
        <w:spacing w:after="0" w:line="48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sz w:val="24"/>
          <w:szCs w:val="24"/>
        </w:rPr>
        <w:t xml:space="preserve">KATA PENGANTAR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i</w:t>
      </w:r>
    </w:p>
    <w:p>
      <w:pPr>
        <w:tabs>
          <w:tab w:val="left" w:leader="dot" w:pos="8820"/>
          <w:tab w:val="right" w:pos="9214"/>
          <w:tab w:val="right" w:pos="9360"/>
        </w:tabs>
        <w:spacing w:after="0" w:line="48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lang w:val="id-ID"/>
          <w14:textFill>
            <w14:solidFill>
              <w14:schemeClr w14:val="tx1"/>
            </w14:solidFill>
          </w14:textFill>
        </w:rPr>
        <w:t>DAFTAR ISI</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ii</w:t>
      </w:r>
    </w:p>
    <w:p>
      <w:pPr>
        <w:tabs>
          <w:tab w:val="left" w:leader="dot" w:pos="8820"/>
          <w:tab w:val="right" w:pos="9214"/>
          <w:tab w:val="right" w:pos="9360"/>
        </w:tabs>
        <w:spacing w:after="0" w:line="480" w:lineRule="auto"/>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DAFTAR TABEL</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iii</w:t>
      </w:r>
    </w:p>
    <w:p>
      <w:pPr>
        <w:tabs>
          <w:tab w:val="left" w:pos="1260"/>
          <w:tab w:val="left" w:pos="1440"/>
          <w:tab w:val="left" w:pos="1843"/>
          <w:tab w:val="left" w:leader="dot" w:pos="8820"/>
          <w:tab w:val="right" w:pos="9360"/>
        </w:tabs>
        <w:spacing w:after="0" w:line="480" w:lineRule="auto"/>
        <w:ind w:left="1276" w:right="-284" w:hanging="1276"/>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DAFTAR GAMBAR</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vi</w:t>
      </w:r>
    </w:p>
    <w:p>
      <w:pPr>
        <w:tabs>
          <w:tab w:val="left" w:leader="dot" w:pos="8820"/>
          <w:tab w:val="right" w:pos="9214"/>
          <w:tab w:val="right" w:pos="9360"/>
        </w:tabs>
        <w:spacing w:after="0" w:line="480" w:lineRule="auto"/>
        <w:rPr>
          <w:rFonts w:ascii="Bookman Old Style" w:hAnsi="Bookman Old Style" w:eastAsia="Times New Roman" w:cs="Tahoma"/>
          <w:color w:val="000000" w:themeColor="text1"/>
          <w:sz w:val="12"/>
          <w:szCs w:val="24"/>
          <w14:textFill>
            <w14:solidFill>
              <w14:schemeClr w14:val="tx1"/>
            </w14:solidFill>
          </w14:textFill>
        </w:rPr>
      </w:pPr>
    </w:p>
    <w:p>
      <w:pPr>
        <w:tabs>
          <w:tab w:val="left" w:pos="1260"/>
          <w:tab w:val="left" w:pos="1440"/>
          <w:tab w:val="left" w:leader="dot" w:pos="8820"/>
          <w:tab w:val="right" w:pos="9214"/>
          <w:tab w:val="right" w:pos="9360"/>
        </w:tabs>
        <w:spacing w:after="0" w:line="480" w:lineRule="auto"/>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I</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PENDAHULUAN</w:t>
      </w:r>
    </w:p>
    <w:p>
      <w:pPr>
        <w:tabs>
          <w:tab w:val="left" w:pos="1418"/>
          <w:tab w:val="left" w:pos="1985"/>
          <w:tab w:val="left" w:leader="dot" w:pos="8820"/>
          <w:tab w:val="right" w:pos="9214"/>
          <w:tab w:val="right" w:pos="9360"/>
        </w:tabs>
        <w:spacing w:after="0" w:line="480" w:lineRule="auto"/>
        <w:ind w:left="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Latar Belakang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w:t>
      </w:r>
    </w:p>
    <w:p>
      <w:pPr>
        <w:tabs>
          <w:tab w:val="left" w:pos="1418"/>
          <w:tab w:val="left" w:pos="1985"/>
          <w:tab w:val="left" w:leader="dot" w:pos="8820"/>
          <w:tab w:val="right" w:pos="9214"/>
          <w:tab w:val="right" w:pos="9360"/>
        </w:tabs>
        <w:spacing w:after="0" w:line="480" w:lineRule="auto"/>
        <w:ind w:left="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1.2.</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Landasan Hukum</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w:t>
      </w:r>
    </w:p>
    <w:p>
      <w:pPr>
        <w:tabs>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1.3.</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Maksud dan Tujuan</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9</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1.4.</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Sistematika Penulisan</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10 </w:t>
      </w:r>
    </w:p>
    <w:p>
      <w:pPr>
        <w:tabs>
          <w:tab w:val="left" w:pos="1260"/>
          <w:tab w:val="left" w:pos="1418"/>
          <w:tab w:val="left" w:pos="1843"/>
          <w:tab w:val="left" w:pos="1985"/>
          <w:tab w:val="left" w:leader="dot" w:pos="8820"/>
          <w:tab w:val="right" w:pos="9214"/>
          <w:tab w:val="right" w:pos="9360"/>
        </w:tabs>
        <w:spacing w:after="0" w:line="480" w:lineRule="auto"/>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II</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GAMBARAN PELAYANAN PERANGKAT DAERAH</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2.1.</w:t>
      </w: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 xml:space="preserve">Tugas, Fungsi, Struktur Organisasi </w:t>
      </w:r>
      <w:r>
        <w:rPr>
          <w:rFonts w:ascii="Bookman Old Style" w:hAnsi="Bookman Old Style" w:eastAsia="Times New Roman" w:cs="Tahoma"/>
          <w:color w:val="000000" w:themeColor="text1"/>
          <w:sz w:val="24"/>
          <w:szCs w:val="24"/>
          <w14:textFill>
            <w14:solidFill>
              <w14:schemeClr w14:val="tx1"/>
            </w14:solidFill>
          </w14:textFill>
        </w:rPr>
        <w:t>Disdagkukm</w:t>
      </w: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sz w:val="24"/>
          <w:szCs w:val="24"/>
          <w:lang w:val="fi-FI"/>
        </w:rPr>
        <w:t>1</w:t>
      </w:r>
      <w:r>
        <w:rPr>
          <w:rFonts w:ascii="Bookman Old Style" w:hAnsi="Bookman Old Style" w:eastAsia="Times New Roman" w:cs="Tahoma"/>
          <w:sz w:val="24"/>
          <w:szCs w:val="24"/>
        </w:rPr>
        <w:t>3</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2.2.</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Sumber Daya Disdag</w:t>
      </w:r>
      <w:r>
        <w:rPr>
          <w:rFonts w:hint="default" w:ascii="Bookman Old Style" w:hAnsi="Bookman Old Style" w:eastAsia="Times New Roman" w:cs="Tahoma"/>
          <w:color w:val="000000" w:themeColor="text1"/>
          <w:sz w:val="24"/>
          <w:szCs w:val="24"/>
          <w:lang w:val="en-US"/>
          <w14:textFill>
            <w14:solidFill>
              <w14:schemeClr w14:val="tx1"/>
            </w14:solidFill>
          </w14:textFill>
        </w:rPr>
        <w:t>kukm</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27</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2.3</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Kinerja Pelayanan Disdagkukm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29</w:t>
      </w:r>
    </w:p>
    <w:p>
      <w:pPr>
        <w:tabs>
          <w:tab w:val="left" w:pos="1418"/>
          <w:tab w:val="left" w:pos="1985"/>
          <w:tab w:val="left" w:leader="dot" w:pos="8820"/>
          <w:tab w:val="right" w:pos="9214"/>
          <w:tab w:val="right" w:pos="9360"/>
        </w:tabs>
        <w:spacing w:after="0" w:line="480" w:lineRule="auto"/>
        <w:ind w:left="1985" w:hanging="905"/>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2.4.</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Tantangan dan Peluang Pengembangan Pelayanan Disdagkukm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66</w:t>
      </w:r>
    </w:p>
    <w:p>
      <w:pPr>
        <w:tabs>
          <w:tab w:val="left" w:pos="1260"/>
          <w:tab w:val="left" w:pos="1418"/>
          <w:tab w:val="left" w:pos="1843"/>
          <w:tab w:val="left" w:pos="1985"/>
          <w:tab w:val="left" w:leader="dot" w:pos="8820"/>
          <w:tab w:val="right" w:pos="9214"/>
          <w:tab w:val="right" w:pos="9360"/>
        </w:tabs>
        <w:spacing w:after="0" w:line="480" w:lineRule="auto"/>
        <w:ind w:left="1276" w:hanging="1276"/>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III</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PERMASALAHAN DAN ISU–ISU STRATEGIS PERANGKAT DAERAH</w:t>
      </w:r>
    </w:p>
    <w:p>
      <w:pPr>
        <w:numPr>
          <w:ilvl w:val="1"/>
          <w:numId w:val="2"/>
        </w:numPr>
        <w:tabs>
          <w:tab w:val="left" w:pos="1080"/>
          <w:tab w:val="left" w:pos="1418"/>
          <w:tab w:val="left" w:pos="1985"/>
          <w:tab w:val="left" w:leader="dot" w:pos="8820"/>
          <w:tab w:val="right" w:pos="9214"/>
          <w:tab w:val="right" w:pos="9360"/>
        </w:tabs>
        <w:spacing w:after="0" w:line="480" w:lineRule="auto"/>
        <w:ind w:left="2145" w:hanging="720"/>
        <w:contextualSpacing/>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Identifikasi Permasalahan Berdasarkan Tugas       </w:t>
      </w:r>
    </w:p>
    <w:p>
      <w:pPr>
        <w:tabs>
          <w:tab w:val="left" w:pos="1080"/>
          <w:tab w:val="left" w:pos="1418"/>
          <w:tab w:val="left" w:pos="1985"/>
          <w:tab w:val="left" w:leader="dot" w:pos="8820"/>
          <w:tab w:val="right" w:pos="9214"/>
          <w:tab w:val="right" w:pos="9360"/>
        </w:tabs>
        <w:spacing w:after="0" w:line="480" w:lineRule="auto"/>
        <w:ind w:left="1985" w:hanging="545"/>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dan Fungsi Pelayanan Disperindag KUKM</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68</w:t>
      </w:r>
    </w:p>
    <w:p>
      <w:pPr>
        <w:tabs>
          <w:tab w:val="left" w:pos="1418"/>
          <w:tab w:val="left" w:pos="1985"/>
          <w:tab w:val="left" w:leader="dot" w:pos="8820"/>
          <w:tab w:val="right" w:pos="9214"/>
          <w:tab w:val="right" w:pos="9360"/>
        </w:tabs>
        <w:spacing w:after="0" w:line="480" w:lineRule="auto"/>
        <w:ind w:left="1985" w:hanging="905"/>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3.2.</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Telaahan Visi, Misi dan Program Kepala Daerah dan                Wakil Kepala Daerah Terpilih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70</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3.3.</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Telaahan RENSTRA K/L DAN RENSTRA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78</w:t>
      </w:r>
    </w:p>
    <w:p>
      <w:pPr>
        <w:tabs>
          <w:tab w:val="left" w:pos="1418"/>
          <w:tab w:val="left" w:pos="1985"/>
          <w:tab w:val="left" w:leader="dot" w:pos="8820"/>
          <w:tab w:val="right" w:pos="9214"/>
          <w:tab w:val="right" w:pos="9360"/>
        </w:tabs>
        <w:spacing w:after="0" w:line="480" w:lineRule="auto"/>
        <w:ind w:left="1985" w:hanging="905"/>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3.4.</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Telaahan Rencana Tata Ruang Wilayah dan Kajian Disperindag KUKM Strategis</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89</w:t>
      </w:r>
    </w:p>
    <w:p>
      <w:pPr>
        <w:tabs>
          <w:tab w:val="left" w:pos="1080"/>
          <w:tab w:val="left" w:pos="1418"/>
          <w:tab w:val="left" w:pos="1985"/>
          <w:tab w:val="left" w:leader="dot" w:pos="8820"/>
          <w:tab w:val="right" w:pos="9214"/>
          <w:tab w:val="right" w:pos="9360"/>
        </w:tabs>
        <w:spacing w:after="0" w:line="480" w:lineRule="auto"/>
        <w:ind w:left="108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3.5.</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Penentuan Isu-Isu Strategis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98</w:t>
      </w:r>
      <w:r>
        <w:rPr>
          <w:rFonts w:ascii="Bookman Old Style" w:hAnsi="Bookman Old Style" w:eastAsia="Times New Roman" w:cs="Tahoma"/>
          <w:color w:val="000000" w:themeColor="text1"/>
          <w:sz w:val="24"/>
          <w:szCs w:val="24"/>
          <w14:textFill>
            <w14:solidFill>
              <w14:schemeClr w14:val="tx1"/>
            </w14:solidFill>
          </w14:textFill>
        </w:rPr>
        <w:tab/>
      </w:r>
    </w:p>
    <w:p>
      <w:pPr>
        <w:tabs>
          <w:tab w:val="left" w:pos="1260"/>
          <w:tab w:val="left" w:pos="1418"/>
          <w:tab w:val="left" w:pos="1843"/>
          <w:tab w:val="left" w:pos="1985"/>
          <w:tab w:val="left" w:leader="dot" w:pos="8820"/>
          <w:tab w:val="right" w:pos="9214"/>
          <w:tab w:val="right" w:pos="9360"/>
        </w:tabs>
        <w:spacing w:after="0" w:line="480" w:lineRule="auto"/>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IV</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TUJUAN DAN SASARAN</w:t>
      </w:r>
    </w:p>
    <w:p>
      <w:pPr>
        <w:tabs>
          <w:tab w:val="left" w:pos="1080"/>
          <w:tab w:val="left" w:pos="1418"/>
          <w:tab w:val="left" w:pos="1985"/>
          <w:tab w:val="left" w:leader="dot" w:pos="8820"/>
          <w:tab w:val="right" w:pos="9360"/>
        </w:tabs>
        <w:spacing w:after="0" w:line="480" w:lineRule="auto"/>
        <w:ind w:left="1080" w:right="-28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4.1.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Tujuan Jangka Menengah Disperindag KUKM</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103</w:t>
      </w:r>
    </w:p>
    <w:p>
      <w:pPr>
        <w:tabs>
          <w:tab w:val="left" w:pos="1080"/>
          <w:tab w:val="left" w:pos="1418"/>
          <w:tab w:val="left" w:pos="1985"/>
          <w:tab w:val="left" w:leader="dot" w:pos="8820"/>
          <w:tab w:val="right" w:pos="9360"/>
        </w:tabs>
        <w:spacing w:after="0" w:line="480" w:lineRule="auto"/>
        <w:ind w:left="1080" w:right="-28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4.2.</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Sasaran Jangka Menengah Disperindag KUKM</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104</w:t>
      </w:r>
    </w:p>
    <w:p>
      <w:pPr>
        <w:tabs>
          <w:tab w:val="left" w:pos="1260"/>
          <w:tab w:val="left" w:pos="1418"/>
          <w:tab w:val="left" w:pos="1843"/>
          <w:tab w:val="left" w:pos="1985"/>
          <w:tab w:val="left" w:leader="dot" w:pos="8820"/>
          <w:tab w:val="right" w:pos="9214"/>
          <w:tab w:val="right" w:pos="9360"/>
        </w:tabs>
        <w:spacing w:after="0" w:line="480" w:lineRule="auto"/>
        <w:rPr>
          <w:rFonts w:ascii="Bookman Old Style" w:hAnsi="Bookman Old Style" w:eastAsia="Times New Roman" w:cs="Tahoma"/>
          <w:color w:val="000000" w:themeColor="text1"/>
          <w:sz w:val="24"/>
          <w:szCs w:val="24"/>
          <w:lang w:val="en-GB"/>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V</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STRATEGI DAN ARAH KEBIJAKAN</w:t>
      </w:r>
    </w:p>
    <w:p>
      <w:pPr>
        <w:tabs>
          <w:tab w:val="left" w:pos="1080"/>
          <w:tab w:val="left" w:pos="1418"/>
          <w:tab w:val="left" w:pos="1985"/>
          <w:tab w:val="left" w:leader="dot" w:pos="8789"/>
          <w:tab w:val="right" w:pos="9214"/>
          <w:tab w:val="right" w:pos="9360"/>
        </w:tabs>
        <w:spacing w:after="0" w:line="480" w:lineRule="auto"/>
        <w:ind w:left="1080" w:right="-28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5.1.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Strategi Disdag KUKM</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111</w:t>
      </w:r>
    </w:p>
    <w:p>
      <w:pPr>
        <w:tabs>
          <w:tab w:val="left" w:pos="1080"/>
          <w:tab w:val="left" w:pos="1418"/>
          <w:tab w:val="left" w:pos="1985"/>
          <w:tab w:val="left" w:leader="dot" w:pos="8789"/>
          <w:tab w:val="right" w:pos="9214"/>
          <w:tab w:val="right" w:pos="9360"/>
        </w:tabs>
        <w:spacing w:after="0" w:line="480" w:lineRule="auto"/>
        <w:ind w:left="1080" w:right="-284"/>
        <w:rPr>
          <w:rFonts w:ascii="Bookman Old Style" w:hAnsi="Bookman Old Style" w:eastAsia="Times New Roman" w:cs="Tahoma"/>
          <w:sz w:val="24"/>
          <w:szCs w:val="24"/>
        </w:rPr>
      </w:pPr>
      <w:r>
        <w:rPr>
          <w:rFonts w:ascii="Bookman Old Style" w:hAnsi="Bookman Old Style" w:eastAsia="Times New Roman" w:cs="Tahoma"/>
          <w:sz w:val="24"/>
          <w:szCs w:val="24"/>
        </w:rPr>
        <w:tab/>
      </w:r>
      <w:r>
        <w:rPr>
          <w:rFonts w:ascii="Bookman Old Style" w:hAnsi="Bookman Old Style" w:eastAsia="Times New Roman" w:cs="Tahoma"/>
          <w:sz w:val="24"/>
          <w:szCs w:val="24"/>
        </w:rPr>
        <w:t>5.2.</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Arah Kebijakan Disperindag KUKM </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 115</w:t>
      </w:r>
    </w:p>
    <w:p>
      <w:pPr>
        <w:tabs>
          <w:tab w:val="left" w:pos="1260"/>
          <w:tab w:val="left" w:pos="1440"/>
          <w:tab w:val="left" w:pos="1843"/>
          <w:tab w:val="left" w:leader="dot" w:pos="8820"/>
          <w:tab w:val="right" w:pos="9214"/>
          <w:tab w:val="right" w:pos="9360"/>
        </w:tabs>
        <w:spacing w:after="0" w:line="480" w:lineRule="auto"/>
        <w:ind w:left="1276" w:hanging="1276"/>
        <w:rPr>
          <w:rFonts w:ascii="Bookman Old Style" w:hAnsi="Bookman Old Style" w:eastAsia="Times New Roman" w:cs="Tahoma"/>
          <w:sz w:val="24"/>
          <w:szCs w:val="24"/>
        </w:rPr>
      </w:pPr>
      <w:r>
        <w:rPr>
          <w:rFonts w:ascii="Bookman Old Style" w:hAnsi="Bookman Old Style" w:eastAsia="Times New Roman" w:cs="Tahoma"/>
          <w:b/>
          <w:sz w:val="24"/>
          <w:szCs w:val="24"/>
        </w:rPr>
        <w:t>BAB. VI</w:t>
      </w:r>
      <w:r>
        <w:rPr>
          <w:rFonts w:ascii="Bookman Old Style" w:hAnsi="Bookman Old Style" w:eastAsia="Times New Roman" w:cs="Tahoma"/>
          <w:b/>
          <w:sz w:val="24"/>
          <w:szCs w:val="24"/>
        </w:rPr>
        <w:tab/>
      </w:r>
      <w:r>
        <w:rPr>
          <w:rFonts w:ascii="Bookman Old Style" w:hAnsi="Bookman Old Style" w:eastAsia="Times New Roman" w:cs="Tahoma"/>
          <w:b/>
          <w:sz w:val="24"/>
          <w:szCs w:val="24"/>
        </w:rPr>
        <w:t xml:space="preserve">RENCANA PROGRAM DAN KEGIATAN SERTA PENDANAAN </w:t>
      </w:r>
    </w:p>
    <w:p>
      <w:pPr>
        <w:tabs>
          <w:tab w:val="left" w:pos="1418"/>
          <w:tab w:val="left" w:pos="1985"/>
          <w:tab w:val="left" w:leader="dot" w:pos="8820"/>
        </w:tabs>
        <w:spacing w:after="0" w:line="480" w:lineRule="auto"/>
        <w:ind w:left="1985" w:right="-284" w:hanging="905"/>
        <w:rPr>
          <w:rFonts w:ascii="Bookman Old Style" w:hAnsi="Bookman Old Style" w:eastAsia="Times New Roman" w:cs="Tahoma"/>
          <w:sz w:val="24"/>
          <w:szCs w:val="24"/>
        </w:rPr>
      </w:pPr>
      <w:r>
        <w:rPr>
          <w:rFonts w:ascii="Bookman Old Style" w:hAnsi="Bookman Old Style" w:eastAsia="Times New Roman" w:cs="Tahoma"/>
          <w:sz w:val="24"/>
          <w:szCs w:val="24"/>
        </w:rPr>
        <w:tab/>
      </w:r>
      <w:r>
        <w:rPr>
          <w:rFonts w:ascii="Bookman Old Style" w:hAnsi="Bookman Old Style" w:eastAsia="Times New Roman" w:cs="Tahoma"/>
          <w:sz w:val="24"/>
          <w:szCs w:val="24"/>
        </w:rPr>
        <w:t>6.1.</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Rencana Program </w:t>
      </w:r>
      <w:r>
        <w:rPr>
          <w:rFonts w:ascii="Bookman Old Style" w:hAnsi="Bookman Old Style" w:eastAsia="Times New Roman" w:cs="Tahoma"/>
          <w:sz w:val="24"/>
          <w:szCs w:val="24"/>
        </w:rPr>
        <w:tab/>
      </w:r>
      <w:r>
        <w:rPr>
          <w:rFonts w:ascii="Bookman Old Style" w:hAnsi="Bookman Old Style" w:eastAsia="Times New Roman" w:cs="Tahoma"/>
          <w:sz w:val="24"/>
          <w:szCs w:val="24"/>
        </w:rPr>
        <w:t>122</w:t>
      </w:r>
    </w:p>
    <w:p>
      <w:pPr>
        <w:tabs>
          <w:tab w:val="left" w:pos="1418"/>
          <w:tab w:val="left" w:pos="1985"/>
          <w:tab w:val="left" w:leader="dot" w:pos="8820"/>
          <w:tab w:val="right" w:pos="9360"/>
        </w:tabs>
        <w:spacing w:after="0" w:line="480" w:lineRule="auto"/>
        <w:ind w:left="1985" w:right="-284" w:hanging="905"/>
        <w:rPr>
          <w:rFonts w:ascii="Bookman Old Style" w:hAnsi="Bookman Old Style" w:eastAsia="Times New Roman" w:cs="Tahoma"/>
          <w:sz w:val="24"/>
          <w:szCs w:val="24"/>
        </w:rPr>
      </w:pPr>
      <w:r>
        <w:rPr>
          <w:rFonts w:ascii="Bookman Old Style" w:hAnsi="Bookman Old Style" w:eastAsia="Times New Roman" w:cs="Tahoma"/>
          <w:sz w:val="24"/>
          <w:szCs w:val="24"/>
        </w:rPr>
        <w:tab/>
      </w:r>
      <w:r>
        <w:rPr>
          <w:rFonts w:ascii="Bookman Old Style" w:hAnsi="Bookman Old Style" w:eastAsia="Times New Roman" w:cs="Tahoma"/>
          <w:sz w:val="24"/>
          <w:szCs w:val="24"/>
        </w:rPr>
        <w:t>6.2.</w:t>
      </w:r>
      <w:r>
        <w:rPr>
          <w:rFonts w:ascii="Bookman Old Style" w:hAnsi="Bookman Old Style" w:eastAsia="Times New Roman" w:cs="Tahoma"/>
          <w:sz w:val="24"/>
          <w:szCs w:val="24"/>
        </w:rPr>
        <w:tab/>
      </w:r>
      <w:r>
        <w:rPr>
          <w:rFonts w:ascii="Bookman Old Style" w:hAnsi="Bookman Old Style" w:eastAsia="Times New Roman" w:cs="Tahoma"/>
          <w:sz w:val="24"/>
          <w:szCs w:val="24"/>
        </w:rPr>
        <w:t>Kelompok Sasaran</w:t>
      </w:r>
      <w:r>
        <w:rPr>
          <w:rFonts w:ascii="Bookman Old Style" w:hAnsi="Bookman Old Style" w:eastAsia="Times New Roman" w:cs="Tahoma"/>
          <w:sz w:val="24"/>
          <w:szCs w:val="24"/>
        </w:rPr>
        <w:tab/>
      </w:r>
      <w:r>
        <w:rPr>
          <w:rFonts w:ascii="Bookman Old Style" w:hAnsi="Bookman Old Style" w:eastAsia="Times New Roman" w:cs="Tahoma"/>
          <w:sz w:val="24"/>
          <w:szCs w:val="24"/>
        </w:rPr>
        <w:t>126</w:t>
      </w:r>
    </w:p>
    <w:p>
      <w:pPr>
        <w:tabs>
          <w:tab w:val="left" w:pos="1418"/>
          <w:tab w:val="left" w:pos="1985"/>
          <w:tab w:val="left" w:leader="dot" w:pos="8820"/>
        </w:tabs>
        <w:spacing w:after="0" w:line="480" w:lineRule="auto"/>
        <w:ind w:left="1985" w:right="-284" w:hanging="905"/>
        <w:rPr>
          <w:rFonts w:ascii="Bookman Old Style" w:hAnsi="Bookman Old Style" w:eastAsia="Times New Roman" w:cs="Tahoma"/>
          <w:sz w:val="24"/>
          <w:szCs w:val="24"/>
        </w:rPr>
      </w:pPr>
      <w:r>
        <w:rPr>
          <w:rFonts w:ascii="Bookman Old Style" w:hAnsi="Bookman Old Style" w:eastAsia="Times New Roman" w:cs="Tahoma"/>
          <w:sz w:val="24"/>
          <w:szCs w:val="24"/>
        </w:rPr>
        <w:tab/>
      </w:r>
      <w:r>
        <w:rPr>
          <w:rFonts w:ascii="Bookman Old Style" w:hAnsi="Bookman Old Style" w:eastAsia="Times New Roman" w:cs="Tahoma"/>
          <w:sz w:val="24"/>
          <w:szCs w:val="24"/>
        </w:rPr>
        <w:t>6.3.</w:t>
      </w:r>
      <w:r>
        <w:rPr>
          <w:rFonts w:ascii="Bookman Old Style" w:hAnsi="Bookman Old Style" w:eastAsia="Times New Roman" w:cs="Tahoma"/>
          <w:sz w:val="24"/>
          <w:szCs w:val="24"/>
        </w:rPr>
        <w:tab/>
      </w:r>
      <w:r>
        <w:rPr>
          <w:rFonts w:ascii="Bookman Old Style" w:hAnsi="Bookman Old Style" w:eastAsia="Times New Roman" w:cs="Tahoma"/>
          <w:color w:val="000000" w:themeColor="text1"/>
          <w:sz w:val="24"/>
          <w:szCs w:val="24"/>
          <w14:textFill>
            <w14:solidFill>
              <w14:schemeClr w14:val="tx1"/>
            </w14:solidFill>
          </w14:textFill>
        </w:rPr>
        <w:t>Indikator Kinerja dan Pendanaan Indikatif</w:t>
      </w:r>
      <w:r>
        <w:rPr>
          <w:rFonts w:ascii="Bookman Old Style" w:hAnsi="Bookman Old Style" w:eastAsia="Times New Roman" w:cs="Tahoma"/>
          <w:sz w:val="24"/>
          <w:szCs w:val="24"/>
        </w:rPr>
        <w:tab/>
      </w:r>
      <w:r>
        <w:rPr>
          <w:rFonts w:ascii="Bookman Old Style" w:hAnsi="Bookman Old Style" w:eastAsia="Times New Roman" w:cs="Tahoma"/>
          <w:sz w:val="24"/>
          <w:szCs w:val="24"/>
        </w:rPr>
        <w:t>126</w:t>
      </w:r>
    </w:p>
    <w:p>
      <w:pPr>
        <w:tabs>
          <w:tab w:val="left" w:pos="1260"/>
          <w:tab w:val="left" w:pos="1440"/>
          <w:tab w:val="left" w:pos="1843"/>
          <w:tab w:val="left" w:leader="dot" w:pos="8820"/>
          <w:tab w:val="right" w:pos="9360"/>
        </w:tabs>
        <w:spacing w:after="0" w:line="480" w:lineRule="auto"/>
        <w:ind w:left="1276" w:right="-284" w:hanging="1276"/>
        <w:rPr>
          <w:rFonts w:ascii="Bookman Old Style" w:hAnsi="Bookman Old Style" w:eastAsia="Times New Roman" w:cs="Tahoma"/>
          <w:b/>
          <w:sz w:val="24"/>
          <w:szCs w:val="24"/>
        </w:rPr>
      </w:pPr>
      <w:r>
        <w:rPr>
          <w:rFonts w:ascii="Bookman Old Style" w:hAnsi="Bookman Old Style" w:eastAsia="Times New Roman" w:cs="Tahoma"/>
          <w:b/>
          <w:sz w:val="24"/>
          <w:szCs w:val="24"/>
        </w:rPr>
        <w:t>BAB. VII</w:t>
      </w:r>
      <w:r>
        <w:rPr>
          <w:rFonts w:ascii="Bookman Old Style" w:hAnsi="Bookman Old Style" w:eastAsia="Times New Roman" w:cs="Tahoma"/>
          <w:b/>
          <w:sz w:val="24"/>
          <w:szCs w:val="24"/>
        </w:rPr>
        <w:tab/>
      </w:r>
      <w:r>
        <w:rPr>
          <w:rFonts w:ascii="Bookman Old Style" w:hAnsi="Bookman Old Style" w:eastAsia="Times New Roman" w:cs="Tahoma"/>
          <w:b/>
          <w:sz w:val="24"/>
          <w:szCs w:val="24"/>
        </w:rPr>
        <w:t xml:space="preserve">KINERJA PENYELENGGARAAN BIDANG URUSAN </w:t>
      </w:r>
      <w:r>
        <w:rPr>
          <w:rFonts w:ascii="Bookman Old Style" w:hAnsi="Bookman Old Style" w:eastAsia="Times New Roman" w:cs="Tahoma"/>
          <w:sz w:val="24"/>
          <w:szCs w:val="24"/>
        </w:rPr>
        <w:tab/>
      </w:r>
      <w:r>
        <w:rPr>
          <w:rFonts w:ascii="Bookman Old Style" w:hAnsi="Bookman Old Style" w:eastAsia="Times New Roman" w:cs="Tahoma"/>
          <w:sz w:val="24"/>
          <w:szCs w:val="24"/>
        </w:rPr>
        <w:t>230</w:t>
      </w:r>
    </w:p>
    <w:p>
      <w:pPr>
        <w:tabs>
          <w:tab w:val="left" w:pos="1260"/>
          <w:tab w:val="left" w:pos="1440"/>
          <w:tab w:val="left" w:pos="1843"/>
          <w:tab w:val="left" w:leader="dot" w:pos="8820"/>
          <w:tab w:val="right" w:pos="9360"/>
        </w:tabs>
        <w:spacing w:after="0" w:line="480" w:lineRule="auto"/>
        <w:ind w:left="1276" w:right="-284" w:hanging="1276"/>
        <w:rPr>
          <w:rFonts w:ascii="Bookman Old Style" w:hAnsi="Bookman Old Style" w:eastAsia="Times New Roman" w:cs="Tahoma"/>
          <w:color w:val="FFC000"/>
          <w:sz w:val="24"/>
          <w:szCs w:val="24"/>
        </w:rPr>
      </w:pPr>
      <w:r>
        <w:rPr>
          <w:rFonts w:ascii="Bookman Old Style" w:hAnsi="Bookman Old Style" w:eastAsia="Times New Roman" w:cs="Tahoma"/>
          <w:b/>
          <w:sz w:val="24"/>
          <w:szCs w:val="24"/>
        </w:rPr>
        <w:t>BAB. VIII</w:t>
      </w:r>
      <w:r>
        <w:rPr>
          <w:rFonts w:ascii="Bookman Old Style" w:hAnsi="Bookman Old Style" w:eastAsia="Times New Roman" w:cs="Tahoma"/>
          <w:b/>
          <w:sz w:val="24"/>
          <w:szCs w:val="24"/>
        </w:rPr>
        <w:tab/>
      </w:r>
      <w:r>
        <w:rPr>
          <w:rFonts w:ascii="Bookman Old Style" w:hAnsi="Bookman Old Style" w:eastAsia="Times New Roman" w:cs="Tahoma"/>
          <w:b/>
          <w:sz w:val="24"/>
          <w:szCs w:val="24"/>
        </w:rPr>
        <w:t>P</w:t>
      </w:r>
      <w:r>
        <w:rPr>
          <w:rFonts w:ascii="Bookman Old Style" w:hAnsi="Bookman Old Style" w:eastAsia="Times New Roman" w:cs="Tahoma"/>
          <w:b/>
          <w:sz w:val="24"/>
          <w:szCs w:val="24"/>
        </w:rPr>
        <w:tab/>
      </w:r>
      <w:r>
        <w:rPr>
          <w:rFonts w:ascii="Bookman Old Style" w:hAnsi="Bookman Old Style" w:eastAsia="Times New Roman" w:cs="Tahoma"/>
          <w:b/>
          <w:sz w:val="24"/>
          <w:szCs w:val="24"/>
        </w:rPr>
        <w:t xml:space="preserve">ENUTUP </w:t>
      </w:r>
      <w:r>
        <w:rPr>
          <w:rFonts w:ascii="Bookman Old Style" w:hAnsi="Bookman Old Style" w:eastAsia="Times New Roman" w:cs="Tahoma"/>
          <w:sz w:val="24"/>
          <w:szCs w:val="24"/>
        </w:rPr>
        <w:tab/>
      </w:r>
      <w:r>
        <w:rPr>
          <w:rFonts w:ascii="Bookman Old Style" w:hAnsi="Bookman Old Style" w:eastAsia="Times New Roman" w:cs="Tahoma"/>
          <w:sz w:val="24"/>
          <w:szCs w:val="24"/>
        </w:rPr>
        <w:t>233</w:t>
      </w:r>
    </w:p>
    <w:p>
      <w:pPr>
        <w:tabs>
          <w:tab w:val="left" w:pos="1260"/>
          <w:tab w:val="left" w:pos="1440"/>
          <w:tab w:val="left" w:pos="1843"/>
          <w:tab w:val="left" w:leader="dot" w:pos="8820"/>
          <w:tab w:val="right" w:pos="9360"/>
        </w:tabs>
        <w:spacing w:after="0" w:line="276" w:lineRule="auto"/>
        <w:ind w:left="1276" w:right="-284" w:hanging="1276"/>
        <w:rPr>
          <w:rFonts w:ascii="Bookman Old Style" w:hAnsi="Bookman Old Style" w:eastAsia="Times New Roman" w:cs="Tahoma"/>
          <w:sz w:val="24"/>
          <w:szCs w:val="24"/>
        </w:rPr>
      </w:pPr>
    </w:p>
    <w:p>
      <w:pPr>
        <w:tabs>
          <w:tab w:val="left" w:pos="1260"/>
          <w:tab w:val="left" w:pos="1440"/>
          <w:tab w:val="left" w:pos="1843"/>
          <w:tab w:val="left" w:leader="dot" w:pos="8820"/>
          <w:tab w:val="right" w:pos="9360"/>
        </w:tabs>
        <w:spacing w:after="0" w:line="276" w:lineRule="auto"/>
        <w:ind w:left="1276" w:right="-284" w:hanging="1276"/>
        <w:rPr>
          <w:rFonts w:ascii="Bookman Old Style" w:hAnsi="Bookman Old Style" w:eastAsia="Times New Roman" w:cs="Tahoma"/>
          <w:b/>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rPr>
          <w:rFonts w:ascii="Bookman Old Style" w:hAnsi="Bookman Old Style" w:eastAsia="Times New Roman" w:cs="Tahoma"/>
          <w:sz w:val="24"/>
          <w:szCs w:val="24"/>
        </w:rPr>
      </w:pPr>
    </w:p>
    <w:p>
      <w:pPr>
        <w:tabs>
          <w:tab w:val="left" w:pos="900"/>
          <w:tab w:val="left" w:pos="1080"/>
          <w:tab w:val="left" w:leader="dot" w:pos="8820"/>
          <w:tab w:val="right" w:pos="9214"/>
          <w:tab w:val="right" w:pos="9360"/>
        </w:tabs>
        <w:spacing w:after="0" w:line="276" w:lineRule="auto"/>
        <w:ind w:left="2160"/>
        <w:rPr>
          <w:rFonts w:ascii="Bookman Old Style" w:hAnsi="Bookman Old Style" w:eastAsia="Times New Roman" w:cs="Tahoma"/>
          <w:sz w:val="24"/>
          <w:szCs w:val="24"/>
        </w:rPr>
      </w:pPr>
    </w:p>
    <w:p>
      <w:pPr>
        <w:spacing w:after="0" w:line="360" w:lineRule="auto"/>
        <w:jc w:val="center"/>
        <w:outlineLvl w:val="0"/>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DAFTAR TABEL</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Data Pegawai Berdasarkan Tingkat Pendidikan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28</w:t>
      </w: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2.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Data Pegawai Berdasarkan Diklat/Penjenjangan</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28</w:t>
      </w: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3.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Sarana Dan Prasarana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28</w:t>
      </w:r>
    </w:p>
    <w:p>
      <w:pPr>
        <w:tabs>
          <w:tab w:val="left" w:pos="1418"/>
        </w:tabs>
        <w:spacing w:after="0" w:line="360" w:lineRule="auto"/>
        <w:ind w:left="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4.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Persentase Koperasi Aktif Tahun 2013 - 2020</w:t>
      </w:r>
    </w:p>
    <w:p>
      <w:pPr>
        <w:tabs>
          <w:tab w:val="left" w:pos="1418"/>
          <w:tab w:val="left" w:leader="dot" w:pos="8820"/>
          <w:tab w:val="right" w:pos="9214"/>
        </w:tabs>
        <w:spacing w:after="0" w:line="360" w:lineRule="auto"/>
        <w:ind w:left="1276"/>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Kabupaten Kepulauan Selayar</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33</w:t>
      </w:r>
    </w:p>
    <w:p>
      <w:pPr>
        <w:tabs>
          <w:tab w:val="left" w:pos="1418"/>
          <w:tab w:val="left" w:leader="dot" w:pos="8820"/>
          <w:tab w:val="right" w:pos="9214"/>
        </w:tabs>
        <w:spacing w:after="0" w:line="360" w:lineRule="auto"/>
        <w:ind w:left="1418" w:hanging="1418"/>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 xml:space="preserve">Tabel 5. </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Persentase Koperasi Aktif Menurut Kecamatan Tahun  2013 – 2020 Kabupaten Kepulauan Selayar</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33</w:t>
      </w:r>
    </w:p>
    <w:p>
      <w:pPr>
        <w:tabs>
          <w:tab w:val="left" w:pos="1418"/>
          <w:tab w:val="left" w:leader="dot" w:pos="8820"/>
          <w:tab w:val="right" w:pos="9214"/>
        </w:tabs>
        <w:spacing w:after="0" w:line="360" w:lineRule="auto"/>
        <w:ind w:left="1418" w:hanging="1418"/>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 xml:space="preserve">Tabel 6. </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Persentase Ukm Non Bpr/Lkm Aktif Menurut Kecamatan Kabupaten Kepulauan Selayar Tahun 2016-2020</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37</w:t>
      </w:r>
    </w:p>
    <w:p>
      <w:pPr>
        <w:tabs>
          <w:tab w:val="left" w:pos="1418"/>
          <w:tab w:val="left" w:leader="dot" w:pos="8820"/>
          <w:tab w:val="right" w:pos="9214"/>
        </w:tabs>
        <w:spacing w:after="0" w:line="360" w:lineRule="auto"/>
        <w:ind w:left="1276" w:hanging="1276"/>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 xml:space="preserve">Tabel 7. </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Persentase Bpr/Lkm Aktif Menurut Kecamatan</w:t>
      </w:r>
    </w:p>
    <w:p>
      <w:pPr>
        <w:tabs>
          <w:tab w:val="left" w:pos="1418"/>
          <w:tab w:val="left" w:leader="dot" w:pos="8820"/>
          <w:tab w:val="right" w:pos="9214"/>
        </w:tabs>
        <w:spacing w:after="0" w:line="360" w:lineRule="auto"/>
        <w:ind w:left="1276" w:hanging="1276"/>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37</w:t>
      </w:r>
    </w:p>
    <w:p>
      <w:pPr>
        <w:spacing w:after="0" w:line="360" w:lineRule="auto"/>
        <w:ind w:left="1418" w:hanging="1418"/>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 xml:space="preserve">Tabel 8. </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Persentase Usaha Mikro Dan Kecil Menurut Kecamatan</w:t>
      </w:r>
    </w:p>
    <w:p>
      <w:pPr>
        <w:tabs>
          <w:tab w:val="left" w:pos="1418"/>
          <w:tab w:val="left" w:leader="dot" w:pos="8820"/>
          <w:tab w:val="right" w:pos="9214"/>
        </w:tabs>
        <w:spacing w:after="0" w:line="360" w:lineRule="auto"/>
        <w:ind w:left="1418" w:hanging="1418"/>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38</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Tabel 9.</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2017</w:t>
      </w:r>
      <w:r>
        <w:rPr>
          <w:rFonts w:ascii="Bookman Old Style" w:hAnsi="Bookman Old Style" w:eastAsia="Times New Roman" w:cs="Tahoma"/>
          <w:color w:val="000000" w:themeColor="text1"/>
          <w:sz w:val="24"/>
          <w:szCs w:val="24"/>
          <w:lang w:val="zh-CN"/>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39</w:t>
      </w: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10.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2018</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39</w:t>
      </w: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11.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2019</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40</w:t>
      </w: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12.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Jenis komoditi asal Selayar yang telah  dikirim  ke Surabaya</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43</w:t>
      </w:r>
    </w:p>
    <w:p>
      <w:pPr>
        <w:tabs>
          <w:tab w:val="left" w:pos="1418"/>
          <w:tab w:val="left" w:leader="dot" w:pos="8820"/>
          <w:tab w:val="right" w:pos="9214"/>
        </w:tabs>
        <w:spacing w:after="0" w:line="360" w:lineRule="auto"/>
        <w:ind w:left="1418" w:hanging="1418"/>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13.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Cakupan Bina Kelompok Pedagang/Usaha Informal Menurut Kecamatan Kabupaten Kepulauan Selayar Tahun 2016-2020</w:t>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ab/>
      </w:r>
      <w:r>
        <w:rPr>
          <w:rFonts w:ascii="Bookman Old Style" w:hAnsi="Bookman Old Style" w:eastAsia="Arial" w:cs="Tahoma"/>
          <w:bCs/>
          <w:color w:val="000000" w:themeColor="text1"/>
          <w:sz w:val="24"/>
          <w:szCs w:val="24"/>
          <w14:textFill>
            <w14:solidFill>
              <w14:schemeClr w14:val="tx1"/>
            </w14:solidFill>
          </w14:textFill>
        </w:rPr>
        <w:t>44</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 xml:space="preserve">Tabel 14. </w:t>
      </w:r>
      <w:r>
        <w:rPr>
          <w:rFonts w:ascii="Bookman Old Style" w:hAnsi="Bookman Old Style" w:eastAsia="Times New Roman" w:cs="Arial"/>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Persentase Peningkatan PAD Disdag KUKM Kabupaten   Kepulauan Selayar</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45</w:t>
      </w:r>
    </w:p>
    <w:p>
      <w:pPr>
        <w:tabs>
          <w:tab w:val="left" w:pos="1418"/>
          <w:tab w:val="left" w:leader="dot" w:pos="8820"/>
          <w:tab w:val="right" w:pos="9214"/>
        </w:tabs>
        <w:spacing w:after="0" w:line="360" w:lineRule="auto"/>
        <w:ind w:left="1418" w:hanging="1418"/>
        <w:rPr>
          <w:rFonts w:ascii="Bookman Old Style" w:hAnsi="Bookman Old Style" w:eastAsia="Times New Roman" w:cs="Calibri"/>
          <w:bCs/>
          <w:color w:val="000000" w:themeColor="text1"/>
          <w:sz w:val="24"/>
          <w:szCs w:val="24"/>
          <w:lang w:eastAsia="en-GB"/>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17.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lang w:val="en-GB" w:eastAsia="en-GB"/>
          <w14:textFill>
            <w14:solidFill>
              <w14:schemeClr w14:val="tx1"/>
            </w14:solidFill>
          </w14:textFill>
        </w:rPr>
        <w:t xml:space="preserve">Pencapaian Kinerja Pelayanan Dinas Perdagangan, </w:t>
      </w:r>
      <w:r>
        <w:rPr>
          <w:rFonts w:ascii="Bookman Old Style" w:hAnsi="Bookman Old Style" w:eastAsia="Times New Roman" w:cs="Calibri"/>
          <w:bCs/>
          <w:color w:val="000000" w:themeColor="text1"/>
          <w:sz w:val="24"/>
          <w:szCs w:val="24"/>
          <w:lang w:eastAsia="en-GB"/>
          <w14:textFill>
            <w14:solidFill>
              <w14:schemeClr w14:val="tx1"/>
            </w14:solidFill>
          </w14:textFill>
        </w:rPr>
        <w:t xml:space="preserve"> </w:t>
      </w:r>
      <w:r>
        <w:rPr>
          <w:rFonts w:ascii="Bookman Old Style" w:hAnsi="Bookman Old Style" w:eastAsia="Times New Roman" w:cs="Calibri"/>
          <w:bCs/>
          <w:color w:val="000000" w:themeColor="text1"/>
          <w:sz w:val="24"/>
          <w:szCs w:val="24"/>
          <w:lang w:val="en-GB" w:eastAsia="en-GB"/>
          <w14:textFill>
            <w14:solidFill>
              <w14:schemeClr w14:val="tx1"/>
            </w14:solidFill>
          </w14:textFill>
        </w:rPr>
        <w:t>Koperasi Usaha Kecil dan Menengah</w:t>
      </w:r>
      <w:r>
        <w:rPr>
          <w:rFonts w:ascii="Bookman Old Style" w:hAnsi="Bookman Old Style" w:eastAsia="Times New Roman" w:cs="Calibri"/>
          <w:bCs/>
          <w:color w:val="000000" w:themeColor="text1"/>
          <w:sz w:val="24"/>
          <w:szCs w:val="24"/>
          <w:lang w:val="en-GB" w:eastAsia="en-GB"/>
          <w14:textFill>
            <w14:solidFill>
              <w14:schemeClr w14:val="tx1"/>
            </w14:solidFill>
          </w14:textFill>
        </w:rPr>
        <w:tab/>
      </w:r>
      <w:r>
        <w:rPr>
          <w:rFonts w:ascii="Bookman Old Style" w:hAnsi="Bookman Old Style" w:eastAsia="Times New Roman" w:cs="Calibri"/>
          <w:bCs/>
          <w:color w:val="000000" w:themeColor="text1"/>
          <w:sz w:val="24"/>
          <w:szCs w:val="24"/>
          <w:lang w:val="en-GB" w:eastAsia="en-GB"/>
          <w14:textFill>
            <w14:solidFill>
              <w14:schemeClr w14:val="tx1"/>
            </w14:solidFill>
          </w14:textFill>
        </w:rPr>
        <w:tab/>
      </w:r>
      <w:r>
        <w:rPr>
          <w:rFonts w:ascii="Bookman Old Style" w:hAnsi="Bookman Old Style" w:eastAsia="Times New Roman" w:cs="Calibri"/>
          <w:bCs/>
          <w:color w:val="000000" w:themeColor="text1"/>
          <w:sz w:val="24"/>
          <w:szCs w:val="24"/>
          <w:lang w:val="en-GB" w:eastAsia="en-GB"/>
          <w14:textFill>
            <w14:solidFill>
              <w14:schemeClr w14:val="tx1"/>
            </w14:solidFill>
          </w14:textFill>
        </w:rPr>
        <w:t>4</w:t>
      </w:r>
      <w:r>
        <w:rPr>
          <w:rFonts w:ascii="Bookman Old Style" w:hAnsi="Bookman Old Style" w:eastAsia="Times New Roman" w:cs="Calibri"/>
          <w:bCs/>
          <w:color w:val="000000" w:themeColor="text1"/>
          <w:sz w:val="24"/>
          <w:szCs w:val="24"/>
          <w:lang w:eastAsia="en-GB"/>
          <w14:textFill>
            <w14:solidFill>
              <w14:schemeClr w14:val="tx1"/>
            </w14:solidFill>
          </w14:textFill>
        </w:rPr>
        <w:t>6</w:t>
      </w:r>
    </w:p>
    <w:p>
      <w:pPr>
        <w:tabs>
          <w:tab w:val="left" w:pos="1418"/>
          <w:tab w:val="left" w:leader="dot" w:pos="8820"/>
          <w:tab w:val="right" w:pos="9214"/>
        </w:tabs>
        <w:spacing w:after="0" w:line="360" w:lineRule="auto"/>
        <w:ind w:left="1418" w:hanging="1418"/>
        <w:rPr>
          <w:rFonts w:ascii="Bookman Old Style" w:hAnsi="Bookman Old Style" w:eastAsia="Times New Roman" w:cs="Calibri"/>
          <w:bCs/>
          <w:color w:val="000000" w:themeColor="text1"/>
          <w:sz w:val="24"/>
          <w:szCs w:val="24"/>
          <w14:textFill>
            <w14:solidFill>
              <w14:schemeClr w14:val="tx1"/>
            </w14:solidFill>
          </w14:textFill>
        </w:rPr>
      </w:pPr>
      <w:r>
        <w:rPr>
          <w:rFonts w:ascii="Bookman Old Style" w:hAnsi="Bookman Old Style" w:eastAsia="Times New Roman" w:cs="Calibri"/>
          <w:bCs/>
          <w:color w:val="000000" w:themeColor="text1"/>
          <w:sz w:val="24"/>
          <w:szCs w:val="24"/>
          <w:lang w:val="en-GB" w:eastAsia="en-GB"/>
          <w14:textFill>
            <w14:solidFill>
              <w14:schemeClr w14:val="tx1"/>
            </w14:solidFill>
          </w14:textFill>
        </w:rPr>
        <w:t xml:space="preserve">Tabel 18. </w:t>
      </w:r>
      <w:r>
        <w:rPr>
          <w:rFonts w:ascii="Bookman Old Style" w:hAnsi="Bookman Old Style" w:eastAsia="Times New Roman" w:cs="Calibri"/>
          <w:bCs/>
          <w:color w:val="000000" w:themeColor="text1"/>
          <w:sz w:val="24"/>
          <w:szCs w:val="24"/>
          <w:lang w:val="en-GB" w:eastAsia="en-GB"/>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Anggaran dan Realisasi Pendanaan Pelayanan Dinas   Perdagangan, Koperasi, Usaha Kecil dan Menengah</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49</w:t>
      </w:r>
    </w:p>
    <w:p>
      <w:pPr>
        <w:tabs>
          <w:tab w:val="left" w:pos="1418"/>
          <w:tab w:val="left" w:leader="dot" w:pos="8820"/>
          <w:tab w:val="right" w:pos="9214"/>
        </w:tabs>
        <w:spacing w:after="0" w:line="360" w:lineRule="auto"/>
        <w:ind w:left="1418" w:hanging="1418"/>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Calibri"/>
          <w:bCs/>
          <w:color w:val="000000" w:themeColor="text1"/>
          <w:sz w:val="24"/>
          <w:szCs w:val="24"/>
          <w14:textFill>
            <w14:solidFill>
              <w14:schemeClr w14:val="tx1"/>
            </w14:solidFill>
          </w14:textFill>
        </w:rPr>
        <w:t>Tabel 19.</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Identifikasi permasalahan Dinas </w:t>
      </w:r>
      <w:r>
        <w:rPr>
          <w:rFonts w:ascii="Bookman Old Style" w:hAnsi="Bookman Old Style" w:eastAsia="Times New Roman" w:cs="Tahoma"/>
          <w:bCs/>
          <w:color w:val="000000" w:themeColor="text1"/>
          <w:sz w:val="24"/>
          <w:szCs w:val="24"/>
          <w14:textFill>
            <w14:solidFill>
              <w14:schemeClr w14:val="tx1"/>
            </w14:solidFill>
          </w14:textFill>
        </w:rPr>
        <w:t xml:space="preserve"> Perdagangan, Koperasi       Usaha Kecil dan Menengah</w:t>
      </w: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68</w:t>
      </w:r>
    </w:p>
    <w:p>
      <w:pPr>
        <w:tabs>
          <w:tab w:val="left" w:pos="1418"/>
          <w:tab w:val="left" w:leader="dot" w:pos="8820"/>
          <w:tab w:val="right" w:pos="9214"/>
        </w:tabs>
        <w:spacing w:after="0" w:line="360" w:lineRule="auto"/>
        <w:ind w:left="1536" w:hanging="1536" w:hangingChars="64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Tabel 20. </w:t>
      </w: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Faktor Penghambat dan Pendorong Pelayanan OPD Disdag    KUKM Terhadap Pencapaian Visi, Misi dan                                 Program Bupati Kepulauan Selayar</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73</w:t>
      </w:r>
    </w:p>
    <w:p>
      <w:pPr>
        <w:tabs>
          <w:tab w:val="left" w:pos="1418"/>
          <w:tab w:val="left" w:leader="dot" w:pos="8820"/>
          <w:tab w:val="right" w:pos="9214"/>
        </w:tabs>
        <w:spacing w:after="0" w:line="360" w:lineRule="auto"/>
        <w:ind w:left="1418" w:hanging="1418"/>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21.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Permasalahan Pelayanan Dinas erdagangan, Koperasi,  Usaha Kecil dan Menengah Kabupaten Kepulauan Selayar berdasarkan Sasaran Renstra Kementerian beserta Faktor Penghambat dan Pendorong Keberhasilan Penanganannya</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79</w:t>
      </w:r>
    </w:p>
    <w:p>
      <w:pPr>
        <w:tabs>
          <w:tab w:val="left" w:pos="1418"/>
          <w:tab w:val="left" w:leader="dot" w:pos="8820"/>
          <w:tab w:val="right" w:pos="9214"/>
        </w:tabs>
        <w:spacing w:after="0" w:line="360" w:lineRule="auto"/>
        <w:ind w:left="1418" w:hanging="1418"/>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Tabel 23. </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Permasalahan Pelayanan Dinas Perindustrian, Perdagangan, Koperasi, Usaha Kecil dan Menengah Kabupaten Kepulauan Selayar berdasarkan Sasaran Renstra Dinas Koperasi dan       UKM Propinsi beserta Faktor Penghambat dan Pendorong Keberhasilan Penanganannya</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87</w:t>
      </w:r>
    </w:p>
    <w:p>
      <w:pPr>
        <w:tabs>
          <w:tab w:val="left" w:pos="1418"/>
          <w:tab w:val="left" w:leader="dot" w:pos="8820"/>
          <w:tab w:val="right" w:pos="9214"/>
        </w:tabs>
        <w:spacing w:after="0" w:line="360" w:lineRule="auto"/>
        <w:ind w:left="1418" w:hanging="1418"/>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Tabel 24. </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Permasalahan Pelayanan Dinas Perindustrian, Perdagangan, Koperasi, Usaha Kecil dan Menengah Kabupaten Kepulauan Selayar berdasarkan Sasaran Renstra Dinas Perdagangan   Propinsi beserta Faktor Penghambat dan Pendorong    Keberhasilan Penanganannya</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89</w:t>
      </w:r>
    </w:p>
    <w:p>
      <w:pPr>
        <w:tabs>
          <w:tab w:val="left" w:pos="1418"/>
          <w:tab w:val="left" w:leader="dot" w:pos="8820"/>
          <w:tab w:val="right" w:pos="9214"/>
        </w:tabs>
        <w:spacing w:after="0" w:line="360" w:lineRule="auto"/>
        <w:ind w:left="1440" w:hanging="1440" w:hangingChars="600"/>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Tabel 25.</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Permasalahan Pelayanan OPD berdasarkan Telaahan Rencana Tata Ruang Wilayah beserta Faktor Penghambat dan      Pendorong Keberhasilan Penanganannya</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97</w:t>
      </w:r>
    </w:p>
    <w:p>
      <w:pPr>
        <w:tabs>
          <w:tab w:val="left" w:pos="1418"/>
          <w:tab w:val="left" w:leader="dot" w:pos="8820"/>
          <w:tab w:val="right" w:pos="9214"/>
        </w:tabs>
        <w:spacing w:after="0" w:line="360" w:lineRule="auto"/>
        <w:ind w:left="1418" w:hanging="1418"/>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Tabel 26. </w:t>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lang w:val="sv-SE"/>
          <w14:textFill>
            <w14:solidFill>
              <w14:schemeClr w14:val="tx1"/>
            </w14:solidFill>
          </w14:textFill>
        </w:rPr>
        <w:t>Skor kriteria penentuan isu-isu strategis</w:t>
      </w:r>
      <w:r>
        <w:rPr>
          <w:rFonts w:ascii="Bookman Old Style" w:hAnsi="Bookman Old Style" w:eastAsia="Times New Roman" w:cs="Times New Roman"/>
          <w:color w:val="000000" w:themeColor="text1"/>
          <w:sz w:val="24"/>
          <w:szCs w:val="24"/>
          <w:lang w:val="sv-SE"/>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100</w:t>
      </w:r>
    </w:p>
    <w:p>
      <w:pPr>
        <w:spacing w:after="120" w:line="240" w:lineRule="auto"/>
        <w:ind w:right="26"/>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lang w:val="sv-SE"/>
          <w14:textFill>
            <w14:solidFill>
              <w14:schemeClr w14:val="tx1"/>
            </w14:solidFill>
          </w14:textFill>
        </w:rPr>
        <w:t>Tabel 2</w:t>
      </w:r>
      <w:r>
        <w:rPr>
          <w:rFonts w:ascii="Bookman Old Style" w:hAnsi="Bookman Old Style" w:eastAsia="Times New Roman" w:cs="Times New Roman"/>
          <w:color w:val="000000" w:themeColor="text1"/>
          <w:sz w:val="24"/>
          <w:szCs w:val="24"/>
          <w14:textFill>
            <w14:solidFill>
              <w14:schemeClr w14:val="tx1"/>
            </w14:solidFill>
          </w14:textFill>
        </w:rPr>
        <w:t>7</w:t>
      </w:r>
      <w:r>
        <w:rPr>
          <w:rFonts w:ascii="Bookman Old Style" w:hAnsi="Bookman Old Style" w:eastAsia="Times New Roman" w:cs="Times New Roman"/>
          <w:color w:val="000000" w:themeColor="text1"/>
          <w:sz w:val="24"/>
          <w:szCs w:val="24"/>
          <w:lang w:val="sv-SE"/>
          <w14:textFill>
            <w14:solidFill>
              <w14:schemeClr w14:val="tx1"/>
            </w14:solidFill>
          </w14:textFill>
        </w:rPr>
        <w:t>.</w:t>
      </w:r>
      <w:r>
        <w:rPr>
          <w:rFonts w:ascii="Bookman Old Style" w:hAnsi="Bookman Old Style" w:eastAsia="Times New Roman" w:cs="Times New Roman"/>
          <w:color w:val="000000" w:themeColor="text1"/>
          <w:sz w:val="24"/>
          <w:szCs w:val="24"/>
          <w:lang w:val="sv-SE"/>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Keterkaitan Misi dan Tujuan Renstra </w:t>
      </w:r>
      <w:r>
        <w:rPr>
          <w:rFonts w:ascii="Bookman Old Style" w:hAnsi="Bookman Old Style" w:eastAsia="Times New Roman" w:cs="Tahoma"/>
          <w:color w:val="000000" w:themeColor="text1"/>
          <w:sz w:val="24"/>
          <w:szCs w:val="24"/>
          <w:lang w:val="id-ID"/>
          <w14:textFill>
            <w14:solidFill>
              <w14:schemeClr w14:val="tx1"/>
            </w14:solidFill>
          </w14:textFill>
        </w:rPr>
        <w:t>Dinas</w:t>
      </w:r>
      <w:r>
        <w:rPr>
          <w:rFonts w:ascii="Bookman Old Style" w:hAnsi="Bookman Old Style" w:eastAsia="Times New Roman" w:cs="Tahoma"/>
          <w:color w:val="000000" w:themeColor="text1"/>
          <w:sz w:val="24"/>
          <w:szCs w:val="24"/>
          <w14:textFill>
            <w14:solidFill>
              <w14:schemeClr w14:val="tx1"/>
            </w14:solidFill>
          </w14:textFill>
        </w:rPr>
        <w:t xml:space="preserve"> Perindag KUKM </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Kabupaten Kepulauan Selayar Tahun 2021-2026</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104</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28.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val="sv-SE"/>
          <w14:textFill>
            <w14:solidFill>
              <w14:schemeClr w14:val="tx1"/>
            </w14:solidFill>
          </w14:textFill>
        </w:rPr>
        <w:t xml:space="preserve">Keterkaitan Misi, Tujuan, dan Sasaran Renstra </w:t>
      </w:r>
      <w:r>
        <w:rPr>
          <w:rFonts w:ascii="Bookman Old Style" w:hAnsi="Bookman Old Style" w:eastAsia="Times New Roman" w:cs="Tahoma"/>
          <w:color w:val="000000" w:themeColor="text1"/>
          <w:sz w:val="24"/>
          <w:szCs w:val="24"/>
          <w:lang w:val="id-ID"/>
          <w14:textFill>
            <w14:solidFill>
              <w14:schemeClr w14:val="tx1"/>
            </w14:solidFill>
          </w14:textFill>
        </w:rPr>
        <w:t>Di</w:t>
      </w:r>
      <w:r>
        <w:rPr>
          <w:rFonts w:ascii="Bookman Old Style" w:hAnsi="Bookman Old Style" w:eastAsia="Times New Roman" w:cs="Tahoma"/>
          <w:color w:val="000000" w:themeColor="text1"/>
          <w:sz w:val="24"/>
          <w:szCs w:val="24"/>
          <w14:textFill>
            <w14:solidFill>
              <w14:schemeClr w14:val="tx1"/>
            </w14:solidFill>
          </w14:textFill>
        </w:rPr>
        <w:t>sdag KUKM Kabupaten Kepulauan Selayar Tahun 2021-2026</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105</w:t>
      </w:r>
    </w:p>
    <w:p>
      <w:pPr>
        <w:tabs>
          <w:tab w:val="left" w:pos="1418"/>
          <w:tab w:val="left" w:leader="dot" w:pos="8820"/>
          <w:tab w:val="right" w:pos="9214"/>
        </w:tabs>
        <w:spacing w:after="0" w:line="360" w:lineRule="auto"/>
        <w:ind w:left="1536" w:hanging="1536" w:hangingChars="64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29.</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Indikator sasaran OPD Perindag KUKM dan target kinerja   sasaran OPD Perindag KUKM Sebelum Perubahan</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106</w:t>
      </w:r>
    </w:p>
    <w:p>
      <w:pPr>
        <w:tabs>
          <w:tab w:val="left" w:pos="1418"/>
          <w:tab w:val="left" w:leader="dot" w:pos="8820"/>
          <w:tab w:val="right" w:pos="9214"/>
        </w:tabs>
        <w:spacing w:after="0" w:line="360" w:lineRule="auto"/>
        <w:ind w:left="1536" w:hanging="1536" w:hangingChars="64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30.</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Perubahan Tujuan dan Sasaran jangka Menengah Dinas Perdagangan, Koperasi, Usaha Kecil dan Menengah</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109</w:t>
      </w:r>
    </w:p>
    <w:p>
      <w:pPr>
        <w:tabs>
          <w:tab w:val="left" w:pos="1418"/>
          <w:tab w:val="left" w:leader="dot" w:pos="8820"/>
          <w:tab w:val="right" w:pos="9214"/>
        </w:tabs>
        <w:spacing w:after="0" w:line="360" w:lineRule="auto"/>
        <w:ind w:left="1418" w:hanging="1418"/>
        <w:rPr>
          <w:rFonts w:ascii="Bookman Old Style" w:hAnsi="Bookman Old Style" w:eastAsia="Times New Roman" w:cs="Times New Roman"/>
          <w:color w:val="000000" w:themeColor="text1"/>
          <w:sz w:val="24"/>
          <w:szCs w:val="24"/>
          <w:shd w:val="clear" w:color="auto" w:fill="FFFFFF"/>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Analisis SWOT</w:t>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ab/>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1</w:t>
      </w:r>
      <w:r>
        <w:rPr>
          <w:rFonts w:ascii="Bookman Old Style" w:hAnsi="Bookman Old Style" w:eastAsia="Times New Roman" w:cs="Times New Roman"/>
          <w:color w:val="000000" w:themeColor="text1"/>
          <w:sz w:val="24"/>
          <w:szCs w:val="24"/>
          <w:shd w:val="clear" w:color="auto" w:fill="FFFFFF"/>
          <w14:textFill>
            <w14:solidFill>
              <w14:schemeClr w14:val="tx1"/>
            </w14:solidFill>
          </w14:textFill>
        </w:rPr>
        <w:t>12</w:t>
      </w:r>
    </w:p>
    <w:p>
      <w:pPr>
        <w:tabs>
          <w:tab w:val="left" w:pos="1418"/>
          <w:tab w:val="left" w:leader="dot" w:pos="8820"/>
          <w:tab w:val="right" w:pos="9360"/>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Tabel 3</w:t>
      </w:r>
      <w:r>
        <w:rPr>
          <w:rFonts w:ascii="Bookman Old Style" w:hAnsi="Bookman Old Style" w:eastAsia="Times New Roman" w:cs="Times New Roman"/>
          <w:color w:val="000000" w:themeColor="text1"/>
          <w:sz w:val="24"/>
          <w:szCs w:val="24"/>
          <w:shd w:val="clear" w:color="auto" w:fill="FFFFFF"/>
          <w14:textFill>
            <w14:solidFill>
              <w14:schemeClr w14:val="tx1"/>
            </w14:solidFill>
          </w14:textFill>
        </w:rPr>
        <w:t>2</w:t>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w:t>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Keterkaitan Tujuan, Sasaran, dan Strategi Renstra Dinas Perdagangan, Koperasi Usaha Kecil dan Menengah         Kabupaten Kepulauan Selayar Tahun 2021-2026 Sebelum Perubahan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116</w:t>
      </w:r>
    </w:p>
    <w:p>
      <w:pPr>
        <w:tabs>
          <w:tab w:val="left" w:pos="1418"/>
          <w:tab w:val="left" w:leader="dot" w:pos="8820"/>
          <w:tab w:val="right" w:pos="9360"/>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Tabel.33.</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Keterkaitan Tujuan, Sasaran, dan Strategi Renstra Dinas Perdagangan, Koperasi Usaha Kecil dan Menengah         Kabupaten Kepulauan Selayar Tahun 2021-2026 Setelah Perubahan</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118</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Tabel 34.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Rencana Program, Kegiatan, Indikator Kinerja, Kelompok    Sasaran, dan Pendanaan Indikatif</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127</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35</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Rencana Program, Kegiatan, Indikator Kinerja, Kelompok    Sasaran, dan Pendanaan Indikatif ( Berdasarkan Kepmendagri 050-5889 Tahun 2021)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165</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36</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Rencana Program, Kegiatan, Indikator Kinerja, Kelompok    Sasaran, dan Pendanaan Indikatif ( Berdasarkan Kepmendagri 900.1.15-1317 )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188</w:t>
      </w:r>
    </w:p>
    <w:p>
      <w:pPr>
        <w:tabs>
          <w:tab w:val="left" w:pos="1418"/>
          <w:tab w:val="left" w:leader="dot" w:pos="8820"/>
          <w:tab w:val="right" w:pos="9214"/>
        </w:tabs>
        <w:spacing w:after="0" w:line="360" w:lineRule="auto"/>
        <w:ind w:left="1418" w:hanging="1418"/>
        <w:rPr>
          <w:rFonts w:ascii="Bookman Old Style" w:hAnsi="Bookman Old Style" w:eastAsia="Times New Roman" w:cs="Calibri"/>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37</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Program Dan Kegiatan Investasi Pembangunan Kabupaten Kepulauan Selayar (Sebelum Perubahan)</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226</w:t>
      </w:r>
    </w:p>
    <w:p>
      <w:pPr>
        <w:tabs>
          <w:tab w:val="left" w:pos="1418"/>
          <w:tab w:val="left" w:leader="dot" w:pos="8820"/>
          <w:tab w:val="right" w:pos="9214"/>
        </w:tabs>
        <w:spacing w:after="0" w:line="360" w:lineRule="auto"/>
        <w:ind w:left="1418" w:hanging="1418"/>
        <w:rPr>
          <w:rFonts w:ascii="Bookman Old Style" w:hAnsi="Bookman Old Style" w:eastAsia="Times New Roman" w:cs="Calibri"/>
          <w:bCs/>
          <w:color w:val="000000" w:themeColor="text1"/>
          <w:sz w:val="24"/>
          <w:szCs w:val="24"/>
          <w14:textFill>
            <w14:solidFill>
              <w14:schemeClr w14:val="tx1"/>
            </w14:solidFill>
          </w14:textFill>
        </w:rPr>
      </w:pPr>
      <w:r>
        <w:rPr>
          <w:rFonts w:ascii="Bookman Old Style" w:hAnsi="Bookman Old Style" w:eastAsia="Times New Roman" w:cs="Calibri"/>
          <w:bCs/>
          <w:color w:val="000000" w:themeColor="text1"/>
          <w:sz w:val="24"/>
          <w:szCs w:val="24"/>
          <w14:textFill>
            <w14:solidFill>
              <w14:schemeClr w14:val="tx1"/>
            </w14:solidFill>
          </w14:textFill>
        </w:rPr>
        <w:t>Tabel 38</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Program Dan Kegiatan Investasi Pembangunan Kabupaten Kepulauan Selayar (Setelah Perubahan)</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Calibri"/>
          <w:bCs/>
          <w:color w:val="000000" w:themeColor="text1"/>
          <w:sz w:val="24"/>
          <w:szCs w:val="24"/>
          <w14:textFill>
            <w14:solidFill>
              <w14:schemeClr w14:val="tx1"/>
            </w14:solidFill>
          </w14:textFill>
        </w:rPr>
        <w:t>228</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Calibri"/>
          <w:bCs/>
          <w:color w:val="000000" w:themeColor="text1"/>
          <w:sz w:val="24"/>
          <w:szCs w:val="24"/>
          <w14:textFill>
            <w14:solidFill>
              <w14:schemeClr w14:val="tx1"/>
            </w14:solidFill>
          </w14:textFill>
        </w:rPr>
        <w:t>Tabel 39</w:t>
      </w:r>
      <w:r>
        <w:rPr>
          <w:rFonts w:ascii="Bookman Old Style" w:hAnsi="Bookman Old Style" w:eastAsia="Times New Roman" w:cs="Calibri"/>
          <w:bCs/>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Indikator Kinerja Perangkat Daerah yang mengacu pada       tujuan dan sasaran RPJMD</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230</w:t>
      </w: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40</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Indikator Kinerja Pemerintah Kabupaten</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Yang mengacu pada tujuan dan sasaran RPJMD</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231</w:t>
      </w:r>
    </w:p>
    <w:p>
      <w:pPr>
        <w:spacing w:after="0" w:line="24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rPr>
          <w:rFonts w:ascii="Bookman Old Style" w:hAnsi="Bookman Old Style" w:eastAsia="Times New Roman" w:cs="Tahoma"/>
          <w:color w:val="000000" w:themeColor="text1"/>
          <w:sz w:val="24"/>
          <w:szCs w:val="24"/>
          <w14:textFill>
            <w14:solidFill>
              <w14:schemeClr w14:val="tx1"/>
            </w14:solidFill>
          </w14:textFill>
        </w:rPr>
      </w:pPr>
    </w:p>
    <w:p>
      <w:pPr>
        <w:tabs>
          <w:tab w:val="left" w:pos="1418"/>
          <w:tab w:val="left" w:leader="dot" w:pos="8820"/>
          <w:tab w:val="right" w:pos="9214"/>
        </w:tabs>
        <w:spacing w:after="0" w:line="360" w:lineRule="auto"/>
        <w:ind w:left="1418" w:hanging="1418"/>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center"/>
        <w:outlineLvl w:val="0"/>
        <w:rPr>
          <w:rFonts w:ascii="Bookman Old Style" w:hAnsi="Bookman Old Style" w:eastAsia="Times New Roman" w:cs="Tahoma"/>
          <w:b/>
          <w:sz w:val="24"/>
          <w:szCs w:val="24"/>
        </w:rPr>
      </w:pPr>
      <w:r>
        <w:rPr>
          <w:rFonts w:ascii="Bookman Old Style" w:hAnsi="Bookman Old Style" w:eastAsia="Times New Roman" w:cs="Tahoma"/>
          <w:b/>
          <w:sz w:val="24"/>
          <w:szCs w:val="24"/>
        </w:rPr>
        <w:t>DAFTAR GAMBAR</w:t>
      </w:r>
    </w:p>
    <w:p>
      <w:pPr>
        <w:spacing w:after="0" w:line="360" w:lineRule="auto"/>
        <w:jc w:val="center"/>
        <w:rPr>
          <w:rFonts w:ascii="Bookman Old Style" w:hAnsi="Bookman Old Style" w:eastAsia="Times New Roman" w:cs="Tahoma"/>
          <w:b/>
          <w:sz w:val="24"/>
          <w:szCs w:val="24"/>
        </w:rPr>
      </w:pPr>
    </w:p>
    <w:p>
      <w:pPr>
        <w:tabs>
          <w:tab w:val="left" w:leader="dot" w:pos="8820"/>
          <w:tab w:val="right" w:pos="9214"/>
        </w:tabs>
        <w:spacing w:after="0" w:line="360" w:lineRule="auto"/>
        <w:ind w:left="1560" w:hanging="1560"/>
        <w:rPr>
          <w:rFonts w:ascii="Bookman Old Style" w:hAnsi="Bookman Old Style" w:eastAsia="Times New Roman" w:cs="Tahoma"/>
          <w:sz w:val="24"/>
          <w:szCs w:val="24"/>
        </w:rPr>
      </w:pPr>
      <w:r>
        <w:rPr>
          <w:rFonts w:ascii="Bookman Old Style" w:hAnsi="Bookman Old Style" w:eastAsia="Times New Roman" w:cs="Tahoma"/>
          <w:sz w:val="24"/>
          <w:szCs w:val="24"/>
        </w:rPr>
        <w:t xml:space="preserve">Gambar 1. </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Struktur Organisasi </w:t>
      </w:r>
      <w:r>
        <w:rPr>
          <w:rFonts w:ascii="Bookman Old Style" w:hAnsi="Bookman Old Style" w:eastAsia="Times New Roman" w:cs="Arial"/>
          <w:color w:val="000000" w:themeColor="text1"/>
          <w:sz w:val="24"/>
          <w:szCs w:val="28"/>
          <w:lang w:val="sv-SE"/>
          <w14:textFill>
            <w14:solidFill>
              <w14:schemeClr w14:val="tx1"/>
            </w14:solidFill>
          </w14:textFill>
        </w:rPr>
        <w:t>Dinas Perindag Kukm</w:t>
      </w:r>
      <w:r>
        <w:rPr>
          <w:rFonts w:ascii="Bookman Old Style" w:hAnsi="Bookman Old Style" w:eastAsia="Times New Roman" w:cs="Arial"/>
          <w:color w:val="000000" w:themeColor="text1"/>
          <w:sz w:val="24"/>
          <w:szCs w:val="28"/>
          <w14:textFill>
            <w14:solidFill>
              <w14:schemeClr w14:val="tx1"/>
            </w14:solidFill>
          </w14:textFill>
        </w:rPr>
        <w:t xml:space="preserve"> Tahun 2021-2026</w:t>
      </w:r>
      <w:r>
        <w:rPr>
          <w:rFonts w:ascii="Bookman Old Style" w:hAnsi="Bookman Old Style" w:eastAsia="Times New Roman" w:cs="Tahoma"/>
          <w:sz w:val="24"/>
          <w:szCs w:val="24"/>
        </w:rPr>
        <w:t xml:space="preserve"> </w:t>
      </w:r>
      <w:r>
        <w:rPr>
          <w:rFonts w:ascii="Bookman Old Style" w:hAnsi="Bookman Old Style" w:eastAsia="Times New Roman" w:cs="Tahoma"/>
          <w:sz w:val="24"/>
          <w:szCs w:val="24"/>
        </w:rPr>
        <w:tab/>
      </w:r>
      <w:r>
        <w:rPr>
          <w:rFonts w:ascii="Bookman Old Style" w:hAnsi="Bookman Old Style" w:eastAsia="Times New Roman" w:cs="Tahoma"/>
          <w:sz w:val="24"/>
          <w:szCs w:val="24"/>
        </w:rPr>
        <w:tab/>
      </w:r>
      <w:r>
        <w:rPr>
          <w:rFonts w:ascii="Bookman Old Style" w:hAnsi="Bookman Old Style" w:eastAsia="Times New Roman" w:cs="Tahoma"/>
          <w:sz w:val="24"/>
          <w:szCs w:val="24"/>
        </w:rPr>
        <w:tab/>
      </w:r>
      <w:r>
        <w:rPr>
          <w:rFonts w:ascii="Bookman Old Style" w:hAnsi="Bookman Old Style" w:eastAsia="Times New Roman" w:cs="Tahoma"/>
          <w:sz w:val="24"/>
          <w:szCs w:val="24"/>
        </w:rPr>
        <w:tab/>
      </w:r>
      <w:r>
        <w:rPr>
          <w:rFonts w:ascii="Bookman Old Style" w:hAnsi="Bookman Old Style" w:eastAsia="Times New Roman" w:cs="Tahoma"/>
          <w:sz w:val="24"/>
          <w:szCs w:val="24"/>
        </w:rPr>
        <w:t>43</w:t>
      </w:r>
    </w:p>
    <w:p>
      <w:pPr>
        <w:tabs>
          <w:tab w:val="left" w:leader="dot" w:pos="8820"/>
          <w:tab w:val="right" w:pos="9214"/>
        </w:tabs>
        <w:spacing w:after="0" w:line="360" w:lineRule="auto"/>
        <w:ind w:left="1560" w:hanging="1560"/>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sz w:val="24"/>
          <w:szCs w:val="24"/>
        </w:rPr>
        <w:t xml:space="preserve">Gambar 2. </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Grafik </w:t>
      </w:r>
      <w:r>
        <w:rPr>
          <w:rFonts w:ascii="Bookman Old Style" w:hAnsi="Bookman Old Style" w:eastAsia="Times New Roman" w:cs="Tahoma"/>
          <w:color w:val="000000" w:themeColor="text1"/>
          <w:sz w:val="24"/>
          <w:szCs w:val="24"/>
          <w:lang w:val="id-ID"/>
          <w14:textFill>
            <w14:solidFill>
              <w14:schemeClr w14:val="tx1"/>
            </w14:solidFill>
          </w14:textFill>
        </w:rPr>
        <w:t>Pegaw</w:t>
      </w:r>
      <w:r>
        <w:rPr>
          <w:rFonts w:ascii="Bookman Old Style" w:hAnsi="Bookman Old Style" w:eastAsia="Times New Roman" w:cs="Tahoma"/>
          <w:color w:val="000000" w:themeColor="text1"/>
          <w:sz w:val="24"/>
          <w:szCs w:val="24"/>
          <w:lang w:val="en-GB"/>
          <w14:textFill>
            <w14:solidFill>
              <w14:schemeClr w14:val="tx1"/>
            </w14:solidFill>
          </w14:textFill>
        </w:rPr>
        <w:t>a</w:t>
      </w:r>
      <w:r>
        <w:rPr>
          <w:rFonts w:ascii="Bookman Old Style" w:hAnsi="Bookman Old Style" w:eastAsia="Times New Roman" w:cs="Tahoma"/>
          <w:color w:val="000000" w:themeColor="text1"/>
          <w:sz w:val="24"/>
          <w:szCs w:val="24"/>
          <w:lang w:val="id-ID"/>
          <w14:textFill>
            <w14:solidFill>
              <w14:schemeClr w14:val="tx1"/>
            </w14:solidFill>
          </w14:textFill>
        </w:rPr>
        <w:t>i Dinas</w:t>
      </w:r>
      <w:r>
        <w:rPr>
          <w:rFonts w:ascii="Bookman Old Style" w:hAnsi="Bookman Old Style" w:eastAsia="Times New Roman" w:cs="Tahoma"/>
          <w:color w:val="000000" w:themeColor="text1"/>
          <w:sz w:val="24"/>
          <w:szCs w:val="24"/>
          <w:lang w:val="en-GB"/>
          <w14:textFill>
            <w14:solidFill>
              <w14:schemeClr w14:val="tx1"/>
            </w14:solidFill>
          </w14:textFill>
        </w:rPr>
        <w:t xml:space="preserve"> Perindag Kukm Kabupaten Kepulauan Selayar </w:t>
      </w:r>
      <w:r>
        <w:rPr>
          <w:rFonts w:ascii="Bookman Old Style" w:hAnsi="Bookman Old Style" w:eastAsia="Times New Roman" w:cs="Tahoma"/>
          <w:color w:val="000000" w:themeColor="text1"/>
          <w:sz w:val="24"/>
          <w:szCs w:val="24"/>
          <w:lang w:val="id-ID"/>
          <w14:textFill>
            <w14:solidFill>
              <w14:schemeClr w14:val="tx1"/>
            </w14:solidFill>
          </w14:textFill>
        </w:rPr>
        <w:t>Berdasarkan Golongan Ruang</w:t>
      </w:r>
      <w:r>
        <w:rPr>
          <w:rFonts w:ascii="Bookman Old Style" w:hAnsi="Bookman Old Style" w:eastAsia="Times New Roman" w:cs="Tahoma"/>
          <w:color w:val="000000" w:themeColor="text1"/>
          <w:sz w:val="24"/>
          <w:szCs w:val="24"/>
          <w:lang w:val="id-ID"/>
          <w14:textFill>
            <w14:solidFill>
              <w14:schemeClr w14:val="tx1"/>
            </w14:solidFill>
          </w14:textFill>
        </w:rPr>
        <w:tab/>
      </w:r>
      <w:r>
        <w:rPr>
          <w:rFonts w:ascii="Bookman Old Style" w:hAnsi="Bookman Old Style" w:eastAsia="Times New Roman" w:cs="Tahoma"/>
          <w:color w:val="000000" w:themeColor="text1"/>
          <w:sz w:val="24"/>
          <w:szCs w:val="24"/>
          <w:lang w:val="id-ID"/>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44</w:t>
      </w:r>
    </w:p>
    <w:p>
      <w:pPr>
        <w:tabs>
          <w:tab w:val="left" w:pos="1560"/>
          <w:tab w:val="left" w:leader="dot" w:pos="8820"/>
          <w:tab w:val="right" w:pos="9360"/>
        </w:tabs>
        <w:spacing w:after="0" w:line="360" w:lineRule="auto"/>
        <w:outlineLvl w:val="0"/>
        <w:rPr>
          <w:rFonts w:ascii="Bookman Old Style" w:hAnsi="Bookman Old Style" w:eastAsia="Times New Roman" w:cs="Tahoma"/>
          <w:color w:val="000000" w:themeColor="text1"/>
          <w:sz w:val="24"/>
          <w:szCs w:val="24"/>
          <w14:textFill>
            <w14:solidFill>
              <w14:schemeClr w14:val="tx1"/>
            </w14:solidFill>
          </w14:textFill>
        </w:rPr>
        <w:sectPr>
          <w:headerReference r:id="rId8" w:type="first"/>
          <w:headerReference r:id="rId6" w:type="default"/>
          <w:footerReference r:id="rId9" w:type="default"/>
          <w:headerReference r:id="rId7" w:type="even"/>
          <w:footerReference r:id="rId10" w:type="even"/>
          <w:pgSz w:w="11906" w:h="16838"/>
          <w:pgMar w:top="1134" w:right="845" w:bottom="2098" w:left="1701" w:header="720" w:footer="1100" w:gutter="0"/>
          <w:pgNumType w:fmt="lowerRoman" w:start="1"/>
          <w:cols w:space="720" w:num="1"/>
        </w:sectPr>
      </w:pPr>
      <w:r>
        <w:rPr>
          <w:rFonts w:ascii="Bookman Old Style" w:hAnsi="Bookman Old Style" w:eastAsia="Times New Roman" w:cs="Tahoma"/>
          <w:sz w:val="24"/>
          <w:szCs w:val="24"/>
        </w:rPr>
        <w:t xml:space="preserve">Gambar 3. </w:t>
      </w:r>
      <w:r>
        <w:rPr>
          <w:rFonts w:ascii="Bookman Old Style" w:hAnsi="Bookman Old Style" w:eastAsia="Times New Roman" w:cs="Tahoma"/>
          <w:sz w:val="24"/>
          <w:szCs w:val="24"/>
        </w:rPr>
        <w:tab/>
      </w:r>
      <w:r>
        <w:rPr>
          <w:rFonts w:ascii="Bookman Old Style" w:hAnsi="Bookman Old Style" w:eastAsia="Times New Roman" w:cs="Tahoma"/>
          <w:sz w:val="24"/>
          <w:szCs w:val="24"/>
        </w:rPr>
        <w:t xml:space="preserve">Gambar Diagram </w:t>
      </w:r>
      <w:r>
        <w:rPr>
          <w:rFonts w:ascii="Bookman Old Style" w:hAnsi="Bookman Old Style" w:eastAsia="Times New Roman" w:cs="Tahoma"/>
          <w:color w:val="000000" w:themeColor="text1"/>
          <w:sz w:val="24"/>
          <w:szCs w:val="24"/>
          <w14:textFill>
            <w14:solidFill>
              <w14:schemeClr w14:val="tx1"/>
            </w14:solidFill>
          </w14:textFill>
        </w:rPr>
        <w:t>Capaian Program Prioritas</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50</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I</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PENDAHULUAN</w:t>
      </w:r>
    </w:p>
    <w:p>
      <w:pPr>
        <w:spacing w:after="0" w:line="360" w:lineRule="auto"/>
        <w:jc w:val="both"/>
        <w:rPr>
          <w:rFonts w:ascii="Bookman Old Style" w:hAnsi="Bookman Old Style" w:eastAsia="Times New Roman" w:cs="Tahoma"/>
          <w:color w:val="000000" w:themeColor="text1"/>
          <w:sz w:val="24"/>
          <w:szCs w:val="24"/>
          <w:lang w:val="fi-FI"/>
          <w14:textFill>
            <w14:solidFill>
              <w14:schemeClr w14:val="tx1"/>
            </w14:solidFill>
          </w14:textFill>
        </w:rPr>
      </w:pPr>
    </w:p>
    <w:p>
      <w:pPr>
        <w:numPr>
          <w:ilvl w:val="1"/>
          <w:numId w:val="3"/>
        </w:numPr>
        <w:tabs>
          <w:tab w:val="left" w:pos="851"/>
        </w:tabs>
        <w:spacing w:after="0" w:line="360" w:lineRule="auto"/>
        <w:ind w:left="720" w:hanging="720"/>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 xml:space="preserve">Latar Belakang </w:t>
      </w:r>
    </w:p>
    <w:p>
      <w:pPr>
        <w:tabs>
          <w:tab w:val="left" w:pos="1985"/>
        </w:tabs>
        <w:autoSpaceDE w:val="0"/>
        <w:autoSpaceDN w:val="0"/>
        <w:adjustRightInd w:val="0"/>
        <w:spacing w:before="240"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Renstra merupakan dokumen perencanaan perangkat daerah untuk periode 5 tahun secara sistematis dan berkesinambungan dengan memperhitungkan potensi. peluang, dan kendala yang ada atau yang mungkin timbul. Proses ini menghasilkan suatu Renstra Instansi Pemerintah, yang setidaknya memuat visi, misi, tujuan, sasaran, strategi, kebijakan, dan program serta ukuran keberhasilan dan kegagalan dalam pelaksanaannya. </w:t>
      </w:r>
    </w:p>
    <w:p>
      <w:pPr>
        <w:tabs>
          <w:tab w:val="left" w:pos="1985"/>
        </w:tabs>
        <w:autoSpaceDE w:val="0"/>
        <w:autoSpaceDN w:val="0"/>
        <w:adjustRightInd w:val="0"/>
        <w:spacing w:before="240" w:after="0" w:line="360" w:lineRule="auto"/>
        <w:ind w:left="709"/>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Renstra berfungsi sebagai dokumen perencanaan teknis operasional dalam menentukan arah kebijakan serta indikator program dan kegiatan setiap bidang dan/atau fungsi untuk jangka waktu                       5 tahun. </w:t>
      </w:r>
      <w:r>
        <w:rPr>
          <w:rFonts w:ascii="Bookman Old Style" w:hAnsi="Bookman Old Style" w:eastAsia="Times New Roman" w:cs="Tahoma"/>
          <w:bCs/>
          <w:color w:val="000000" w:themeColor="text1"/>
          <w:sz w:val="24"/>
          <w:szCs w:val="24"/>
          <w14:textFill>
            <w14:solidFill>
              <w14:schemeClr w14:val="tx1"/>
            </w14:solidFill>
          </w14:textFill>
        </w:rPr>
        <w:t>Pelaksanaan Pembangunan Daerah disusun oleh Pemerintah Daerah dalam rangka pemanfaatan potensi sumber daya yang dimiliki Daerah untuk peningkatan kesejahteraan masyarakat yang nyata baik aspek pendapatan, kesempatan kerja, dan</w:t>
      </w:r>
      <w:r>
        <w:rPr>
          <w:rFonts w:ascii="Bookman Old Style" w:hAnsi="Bookman Old Style" w:eastAsia="Times New Roman" w:cs="Tahoma"/>
          <w:b/>
          <w:bCs/>
          <w:color w:val="000000" w:themeColor="text1"/>
          <w:sz w:val="24"/>
          <w:szCs w:val="24"/>
          <w14:textFill>
            <w14:solidFill>
              <w14:schemeClr w14:val="tx1"/>
            </w14:solidFill>
          </w14:textFill>
        </w:rPr>
        <w:t xml:space="preserve"> </w:t>
      </w:r>
      <w:r>
        <w:rPr>
          <w:rFonts w:ascii="Bookman Old Style" w:hAnsi="Bookman Old Style" w:eastAsia="Times New Roman" w:cs="Tahoma"/>
          <w:bCs/>
          <w:color w:val="000000" w:themeColor="text1"/>
          <w:sz w:val="24"/>
          <w:szCs w:val="24"/>
          <w14:textFill>
            <w14:solidFill>
              <w14:schemeClr w14:val="tx1"/>
            </w14:solidFill>
          </w14:textFill>
        </w:rPr>
        <w:t>lapangan berusaha dengan keterbatasan sumber daya yang dimiliki Daerah maka perlu disusun perencanaan pembangunan Daerah agar pelaksanaanya dapat dirasakan oleh masyarakat secara maksimal. Potensi sumber daya alam diperlukan pembinaan guna meningkatk</w:t>
      </w:r>
      <w:bookmarkStart w:id="2" w:name="_GoBack"/>
      <w:bookmarkEnd w:id="2"/>
      <w:r>
        <w:rPr>
          <w:rFonts w:ascii="Bookman Old Style" w:hAnsi="Bookman Old Style" w:eastAsia="Times New Roman" w:cs="Tahoma"/>
          <w:bCs/>
          <w:color w:val="000000" w:themeColor="text1"/>
          <w:sz w:val="24"/>
          <w:szCs w:val="24"/>
          <w14:textFill>
            <w14:solidFill>
              <w14:schemeClr w14:val="tx1"/>
            </w14:solidFill>
          </w14:textFill>
        </w:rPr>
        <w:t xml:space="preserve">an nilai tambah, efesiensi dan produktifitas pengelolaan berbagai komoditi yang dihasilkan sehingga memiliki daya saing yang tinggi baik dipasar regional, nasional, dan global. </w:t>
      </w:r>
    </w:p>
    <w:p>
      <w:pPr>
        <w:tabs>
          <w:tab w:val="left" w:pos="1985"/>
        </w:tabs>
        <w:spacing w:after="0" w:line="360" w:lineRule="auto"/>
        <w:ind w:left="709"/>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            </w:t>
      </w: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Dinas Perdagangan, Koperasi dan Usaha Kecil dan Menengah Kabupaten Kepulauan Selayar sebagai yang mengelola dan memanfaatkan seluruh potensi ekonomi diwilayah Kabupaten Kepulauan selayar melalui pemberdayaan Perdagangan, Koperasi Usaha Kecil dan Menengah untuk menjadi kekuatan ekonomi rill yang dapat tumbuh dan berkembang serta mampu memberikan pelayanan yang sebaik-baiknya kepada masyarakat khususnya para pelaku ekonomi</w:t>
      </w:r>
    </w:p>
    <w:p>
      <w:pPr>
        <w:tabs>
          <w:tab w:val="left" w:pos="1985"/>
        </w:tabs>
        <w:spacing w:after="0" w:line="360" w:lineRule="auto"/>
        <w:ind w:left="709" w:hanging="283"/>
        <w:jc w:val="both"/>
        <w:rPr>
          <w:rFonts w:ascii="Bookman Old Style" w:hAnsi="Bookman Old Style" w:eastAsia="Times New Roman" w:cs="Tahoma"/>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0"/>
          <w14:textFill>
            <w14:solidFill>
              <w14:schemeClr w14:val="tx1"/>
            </w14:solidFill>
          </w14:textFill>
        </w:rPr>
        <w:t xml:space="preserve">Proses penyusunan Renstra dilakukan dengan mengacu pada ketentuan sebagaimana diatur dalam Peraturan Menteri Dalam Negeri Nomor 86 Tahun 2017 tentang Tata Cara Perencanaan Pengendalian dan Evaluasi Pembangunan Daerah, Tata Cara Evaluasi Rancangan Peraturan Daerah tentang Rencana Pembangunan Jangka Panjang Daerah dan Rancangan Pembangunan Jangka Menengah Daerah, serta tata cara perubahan Rencana Pembangunan Jangka Panjang Daerah dan Rencana Pembangunan Jangka Menengah Daerah dan Rencana Kerja Perangkat Daerah. </w:t>
      </w:r>
    </w:p>
    <w:p>
      <w:pPr>
        <w:tabs>
          <w:tab w:val="left" w:pos="1985"/>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Seluruh Dokumen perencanaan tersebut menjadi bagian yang tidak terpisahkan dalam sebuah Sistem Perencanaan pembangunan yang merupakan sebuah proses yang sistematis dan terpadu. Sehingga seluruh tahapan dan dokumen yang dihasilkan harus menunjukkan keterkaitan satu dengan yang lainnya. Renstra yang telah tersusun selanjutnya akan menjadi acuan dalam penyusunan perencanaan dokumen Rencana Kerja (Renja) Perangkat Daerah.</w:t>
      </w:r>
    </w:p>
    <w:p>
      <w:pPr>
        <w:tabs>
          <w:tab w:val="left" w:pos="1985"/>
        </w:tabs>
        <w:autoSpaceDE w:val="0"/>
        <w:autoSpaceDN w:val="0"/>
        <w:adjustRightInd w:val="0"/>
        <w:spacing w:after="0" w:line="360" w:lineRule="auto"/>
        <w:ind w:left="709" w:firstLine="1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Prinsip-prinsip di dalam penyusunan rancangan                      Renstra OPD, adalah sebagai berikut:</w:t>
      </w:r>
    </w:p>
    <w:p>
      <w:pPr>
        <w:numPr>
          <w:ilvl w:val="0"/>
          <w:numId w:val="4"/>
        </w:numPr>
        <w:tabs>
          <w:tab w:val="left" w:pos="1134"/>
        </w:tabs>
        <w:autoSpaceDE w:val="0"/>
        <w:autoSpaceDN w:val="0"/>
        <w:adjustRightInd w:val="0"/>
        <w:spacing w:after="0" w:line="360" w:lineRule="auto"/>
        <w:ind w:left="1134" w:hanging="41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Berpedoman pada Renstra K/L Dinas Induk Provinsi dan mengacu pada rancangan awal RPJMD;</w:t>
      </w:r>
    </w:p>
    <w:p>
      <w:pPr>
        <w:numPr>
          <w:ilvl w:val="0"/>
          <w:numId w:val="4"/>
        </w:numPr>
        <w:tabs>
          <w:tab w:val="left" w:pos="1134"/>
        </w:tabs>
        <w:autoSpaceDE w:val="0"/>
        <w:autoSpaceDN w:val="0"/>
        <w:adjustRightInd w:val="0"/>
        <w:spacing w:after="0" w:line="360" w:lineRule="auto"/>
        <w:ind w:left="1134" w:hanging="41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Rumusan program/kegiatan di dalam Renstra OPD didasarkan atas pertimbangan urutan urusan pelayanan wajib/pilihan pemerintahan daerah yang memerlukan prioritas penanganan dan mempertimbangkan pagu indikatif masing-masing OPD;</w:t>
      </w:r>
    </w:p>
    <w:p>
      <w:pPr>
        <w:numPr>
          <w:ilvl w:val="0"/>
          <w:numId w:val="4"/>
        </w:numPr>
        <w:tabs>
          <w:tab w:val="left" w:pos="1134"/>
        </w:tabs>
        <w:autoSpaceDE w:val="0"/>
        <w:autoSpaceDN w:val="0"/>
        <w:adjustRightInd w:val="0"/>
        <w:spacing w:after="0" w:line="360" w:lineRule="auto"/>
        <w:ind w:left="1134" w:hanging="41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Penyusunan Renstra OPD bukan kegiatan yang berdiri sendiri, melainkan  merupakan rangkaian kegiatan yang simultan dengan penyusunan RPJMD;</w:t>
      </w:r>
    </w:p>
    <w:p>
      <w:pPr>
        <w:numPr>
          <w:ilvl w:val="0"/>
          <w:numId w:val="4"/>
        </w:numPr>
        <w:tabs>
          <w:tab w:val="left" w:pos="1134"/>
        </w:tabs>
        <w:autoSpaceDE w:val="0"/>
        <w:autoSpaceDN w:val="0"/>
        <w:adjustRightInd w:val="0"/>
        <w:spacing w:after="0" w:line="360" w:lineRule="auto"/>
        <w:ind w:left="1134" w:hanging="41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Program dan kegiatan yang direncanakan memuat tolok ukur dan target capaian kinerja, keluaran, biaya satuan per keluaran, total kebutuhan dana, baik untuk lima tahun.</w:t>
      </w:r>
    </w:p>
    <w:p>
      <w:pPr>
        <w:tabs>
          <w:tab w:val="left" w:pos="1134"/>
        </w:tabs>
        <w:autoSpaceDE w:val="0"/>
        <w:autoSpaceDN w:val="0"/>
        <w:adjustRightInd w:val="0"/>
        <w:spacing w:after="0" w:line="360" w:lineRule="auto"/>
        <w:ind w:left="1134"/>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1"/>
          <w:numId w:val="5"/>
        </w:numPr>
        <w:tabs>
          <w:tab w:val="left" w:pos="709"/>
        </w:tabs>
        <w:spacing w:after="0" w:line="360" w:lineRule="auto"/>
        <w:ind w:left="1080" w:hanging="1080"/>
        <w:contextualSpacing/>
        <w:jc w:val="both"/>
        <w:rPr>
          <w:rFonts w:ascii="Bookman Old Style" w:hAnsi="Bookman Old Style" w:eastAsia="Times New Roman" w:cs="Tahoma"/>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Landasan Hukum</w:t>
      </w:r>
    </w:p>
    <w:p>
      <w:pPr>
        <w:tabs>
          <w:tab w:val="left" w:pos="1701"/>
        </w:tabs>
        <w:spacing w:after="0" w:line="360" w:lineRule="auto"/>
        <w:ind w:left="709"/>
        <w:contextualSpacing/>
        <w:jc w:val="both"/>
        <w:rPr>
          <w:rFonts w:ascii="Bookman Old Style" w:hAnsi="Bookman Old Style" w:eastAsia="Times New Roman" w:cs="Tahoma"/>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Landasan hukum dalam penyusunan Renstra Dinas Perindustrian, Perdagangan dan Koperasi dan Usaha Kecil Menengah Kabupaten Kepulauan Selayar adalah :</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Undang-Undang Nomor </w:t>
      </w:r>
      <w:r>
        <w:rPr>
          <w:rFonts w:ascii="Bookman Old Style" w:hAnsi="Bookman Old Style" w:eastAsia="Times New Roman" w:cs="Arial"/>
          <w:sz w:val="24"/>
          <w:szCs w:val="20"/>
          <w:lang w:val="id-ID"/>
        </w:rPr>
        <w:t>29 Tahun 1959 tentang Pembentukan Daerah</w:t>
      </w:r>
      <w:r>
        <w:rPr>
          <w:rFonts w:ascii="Bookman Old Style" w:hAnsi="Bookman Old Style" w:eastAsia="Times New Roman" w:cs="Arial"/>
          <w:sz w:val="24"/>
          <w:szCs w:val="20"/>
        </w:rPr>
        <w:t xml:space="preserve"> </w:t>
      </w:r>
      <w:r>
        <w:rPr>
          <w:rFonts w:ascii="Bookman Old Style" w:hAnsi="Bookman Old Style" w:eastAsia="Times New Roman" w:cs="Arial"/>
          <w:sz w:val="24"/>
          <w:szCs w:val="20"/>
          <w:lang w:val="id-ID"/>
        </w:rPr>
        <w:t>Tingkat II di Sulawesi (Lembaran Negara Republik Indonesia</w:t>
      </w:r>
      <w:r>
        <w:rPr>
          <w:rFonts w:ascii="Bookman Old Style" w:hAnsi="Bookman Old Style" w:eastAsia="Times New Roman" w:cs="Arial"/>
          <w:sz w:val="24"/>
          <w:szCs w:val="20"/>
        </w:rPr>
        <w:t xml:space="preserve"> </w:t>
      </w:r>
      <w:r>
        <w:rPr>
          <w:rFonts w:ascii="Bookman Old Style" w:hAnsi="Bookman Old Style" w:eastAsia="Times New Roman" w:cs="Arial"/>
          <w:sz w:val="24"/>
          <w:szCs w:val="20"/>
          <w:lang w:val="id-ID"/>
        </w:rPr>
        <w:t>Tahun 1959 Nomor 74, Tambahan Lembaran Negara Republik Indonesia Nomor 1822);</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Times New Roman"/>
          <w:color w:val="000000" w:themeColor="text1"/>
          <w:sz w:val="24"/>
          <w:szCs w:val="24"/>
          <w14:textFill>
            <w14:solidFill>
              <w14:schemeClr w14:val="tx1"/>
            </w14:solidFill>
          </w14:textFill>
        </w:rPr>
        <w:t>Undang-Undang Nomor 25 Tahun 1992 tentang Perkoperasian (Lembaran Negara Republik Indonesia tahun 1992 Nomor 116,  Tambahan Lembaran Negara Republik Indonesia Nomor 3502);</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rPr>
        <w:t xml:space="preserve">Undang-Undang Nomor 28 Tahun 1999 tentang Penyelenggaraan Negara yang  Bersih dan Bebas dari Korupsi, Kolusi dan Nepotisme (Lembaran Negara Republik Indonesia Tahun 1999 Nomor 75, Tambahan Lembaran Negara Republik Indonesia Nomor 3851) sebagaimana telah diubah dengan Undang-Undang Nomor 30 Tahun 2002 tentang Komisi Pemberantasan Tindak Pidana Korupsi (Lembaran Negara Republik Indonesia Tahun 2002 Nomr 137, Tambahan Lembaran Negara Republik Indonesia Nomor 4250); </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rPr>
        <w:t xml:space="preserve">Undang-Undang Nomor 17 Tahun 2003 tentang Keuangan Negara (Lembaran Negara Republik Indonesia Tahun 2003 Nomor 47, Tambahan Lembaran Negara Republik Indonesia 4286) sebagaimana telah diubah dengan Undang-Undang Nomor 2 Tahun 2020 tentang Penetapan Peraturan Pemerintah Pengganti Undang-Undang Nomor 1 Tahun 2020 tentang Kebijakan Keuangan Negara dan Stabilitas Keuangan untuk Penanganan Pandemi Corona Virus Disease 2019 (Covid-19) dan/atau dalam rangka Menghadapi Ancaman yang Membahayakan Perekonomian Nasional dan/atau Stabilitas Sistem Keuangan Menjadi Undang-Undang  (Lembaran Negara Republik Indonesia Tahun 2020 Nomor </w:t>
      </w:r>
      <w:r>
        <w:rPr>
          <w:rFonts w:ascii="Bookman Old Style" w:hAnsi="Bookman Old Style" w:eastAsia="Times New Roman" w:cs="Arial"/>
          <w:sz w:val="24"/>
          <w:szCs w:val="20"/>
          <w:lang w:val="id-ID"/>
        </w:rPr>
        <w:t xml:space="preserve">Nomor </w:t>
      </w:r>
      <w:r>
        <w:rPr>
          <w:rFonts w:ascii="Bookman Old Style" w:hAnsi="Bookman Old Style" w:eastAsia="Times New Roman" w:cs="Arial"/>
          <w:sz w:val="24"/>
          <w:szCs w:val="20"/>
        </w:rPr>
        <w:t>134</w:t>
      </w:r>
      <w:r>
        <w:rPr>
          <w:rFonts w:ascii="Bookman Old Style" w:hAnsi="Bookman Old Style" w:eastAsia="Times New Roman" w:cs="Arial"/>
          <w:sz w:val="24"/>
          <w:szCs w:val="20"/>
          <w:lang w:val="id-ID"/>
        </w:rPr>
        <w:t xml:space="preserve">, Tambahan Lembaran Negara Republik Indonesia   Nomor </w:t>
      </w:r>
      <w:r>
        <w:rPr>
          <w:rFonts w:ascii="Bookman Old Style" w:hAnsi="Bookman Old Style" w:eastAsia="Times New Roman" w:cs="Arial"/>
          <w:sz w:val="24"/>
          <w:szCs w:val="20"/>
        </w:rPr>
        <w:t>6516</w:t>
      </w:r>
      <w:r>
        <w:rPr>
          <w:rFonts w:ascii="Bookman Old Style" w:hAnsi="Bookman Old Style" w:eastAsia="Times New Roman" w:cs="Arial"/>
          <w:sz w:val="24"/>
          <w:szCs w:val="20"/>
          <w:lang w:val="id-ID"/>
        </w:rPr>
        <w:t>);</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rPr>
        <w:t xml:space="preserve">Undang-Undang Nomor 1 Tahun 2004 tentang Perbendaharaan Negara (Lembaran Negara Republik Indonesia Tahun 2004 Nomor 5, Tambahan Lembaran Negara Republik Indonesia 4355) sebagaimana telah diubah dengan Undang-Undang Nomor 2 Tahun 2020 tentang Penetapan Peraturan Pemerintah Pengganti Undang-Undang Nomor 1 Tahun 2020 tentang Kebijakan Keuangan Negara dan Stabilitas Keuangan untuk Penanganan Pandemi Corona Virus Disease 2019 (Covid-19) dan/atau dalam rangka Menghadapi Ancaman yang Membahayakan Perekonomian Nasional dan/atau Stabilitas Sistem Keuangan Menjadi Undang-Undang  (Lembaran Negara Republik Indonesia Tahun 2020 Nomor </w:t>
      </w:r>
      <w:r>
        <w:rPr>
          <w:rFonts w:ascii="Bookman Old Style" w:hAnsi="Bookman Old Style" w:eastAsia="Times New Roman" w:cs="Arial"/>
          <w:sz w:val="24"/>
          <w:szCs w:val="20"/>
          <w:lang w:val="id-ID"/>
        </w:rPr>
        <w:t xml:space="preserve">Nomor </w:t>
      </w:r>
      <w:r>
        <w:rPr>
          <w:rFonts w:ascii="Bookman Old Style" w:hAnsi="Bookman Old Style" w:eastAsia="Times New Roman" w:cs="Arial"/>
          <w:sz w:val="24"/>
          <w:szCs w:val="20"/>
        </w:rPr>
        <w:t>134</w:t>
      </w:r>
      <w:r>
        <w:rPr>
          <w:rFonts w:ascii="Bookman Old Style" w:hAnsi="Bookman Old Style" w:eastAsia="Times New Roman" w:cs="Arial"/>
          <w:sz w:val="24"/>
          <w:szCs w:val="20"/>
          <w:lang w:val="id-ID"/>
        </w:rPr>
        <w:t xml:space="preserve">, Tambahan Lembaran Negara Republik Indonesia   Nomor </w:t>
      </w:r>
      <w:r>
        <w:rPr>
          <w:rFonts w:ascii="Bookman Old Style" w:hAnsi="Bookman Old Style" w:eastAsia="Times New Roman" w:cs="Arial"/>
          <w:sz w:val="24"/>
          <w:szCs w:val="20"/>
        </w:rPr>
        <w:t>6516</w:t>
      </w:r>
      <w:r>
        <w:rPr>
          <w:rFonts w:ascii="Bookman Old Style" w:hAnsi="Bookman Old Style" w:eastAsia="Times New Roman" w:cs="Arial"/>
          <w:sz w:val="24"/>
          <w:szCs w:val="20"/>
          <w:lang w:val="id-ID"/>
        </w:rPr>
        <w:t>);</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lang w:val="id-ID"/>
        </w:rPr>
        <w:t>Undang-Undang Nomor 25 Tahun 2004 tentang Sistem Perencanaan Pembangunan Nasional  (Lembaran Negara Republik Indonesia Tahun 2004 Nomor 104, Tambahan Lembaran Negara Republik Indonesia  Nomor 4421);</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rPr>
        <w:t>Undang-Undang Nomor 33 Tahun 2004 tentang Perimbangan Keuangan Antara Pemerintah Pusat dan Pemerintahan Daerah (Lembaran Negara Republik Indonesia Tahun 2004 Nomor 126, Tambahan Lembaran Negara Republik Indonesia Nomor 4438) sebagaimana telah diubah dengan Undang-Undang Nomor 2 Tahun 2020 tentang Penetapan Peraturan Pemerintah Pengganti Undang-Undang Nomor 1 Tahun 2020 tentang Kebijakan Keuangan Negara dan Stabilitas Keuangan untuk Penanganan Pandemi Corona Virus Disease 2019 (Covid-19) dan/atau dalam rangka Menghadapi Ancaman yang Membahayakan Perekonomian Nasional dan/atau Stabilitas Sistem Keuangan Menjadi Undang-Undang  (Lembaran Negara Republik Indonesia Tahun 2020 Nomor 134</w:t>
      </w:r>
      <w:r>
        <w:rPr>
          <w:rFonts w:ascii="Bookman Old Style" w:hAnsi="Bookman Old Style" w:eastAsia="Times New Roman" w:cs="Arial"/>
          <w:sz w:val="24"/>
          <w:szCs w:val="20"/>
          <w:lang w:val="id-ID"/>
        </w:rPr>
        <w:t>, Tambahan Lembaran Negara Republik Indonesia</w:t>
      </w:r>
      <w:r>
        <w:rPr>
          <w:rFonts w:ascii="Bookman Old Style" w:hAnsi="Bookman Old Style" w:eastAsia="Times New Roman" w:cs="Arial"/>
          <w:sz w:val="24"/>
          <w:szCs w:val="20"/>
        </w:rPr>
        <w:t xml:space="preserve"> </w:t>
      </w:r>
      <w:r>
        <w:rPr>
          <w:rFonts w:ascii="Bookman Old Style" w:hAnsi="Bookman Old Style" w:eastAsia="Times New Roman" w:cs="Arial"/>
          <w:sz w:val="24"/>
          <w:szCs w:val="20"/>
          <w:lang w:val="id-ID"/>
        </w:rPr>
        <w:t xml:space="preserve">Nomor </w:t>
      </w:r>
      <w:r>
        <w:rPr>
          <w:rFonts w:ascii="Bookman Old Style" w:hAnsi="Bookman Old Style" w:eastAsia="Times New Roman" w:cs="Arial"/>
          <w:sz w:val="24"/>
          <w:szCs w:val="20"/>
        </w:rPr>
        <w:t>6516</w:t>
      </w:r>
      <w:r>
        <w:rPr>
          <w:rFonts w:ascii="Bookman Old Style" w:hAnsi="Bookman Old Style" w:eastAsia="Times New Roman" w:cs="Arial"/>
          <w:sz w:val="24"/>
          <w:szCs w:val="20"/>
          <w:lang w:val="id-ID"/>
        </w:rPr>
        <w:t>);</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rPr>
        <w:t>Undang-Undang Nomor 17 Tahun 2007 tentang Rencana Pembangunan Jangka Panjang Nasional Tahun 2005-2025 (Lembaran Negara Republik Indonesia Tahun 2007 Nomor 33, Tambahan Lembaran Negara Republik Indonesia Nomor 4700);</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lang w:val="es-ES"/>
        </w:rPr>
        <w:t xml:space="preserve">Undang-Undang Nomor 26 Tahun 2007 tentang Penataan Ruang (Lembaran Negara Republik Indonesia Tahun 2007 Nomor 68, Tambahan Lembaran Negara Republik Indonesia Nomor 4725) sebagaimana telah diubah dengan Undang-Undang Nomor 11 Tahun 2020 tentang Cipta Kerja </w:t>
      </w:r>
      <w:r>
        <w:rPr>
          <w:rFonts w:ascii="Bookman Old Style" w:hAnsi="Bookman Old Style" w:eastAsia="Times New Roman" w:cs="Arial"/>
          <w:sz w:val="24"/>
          <w:szCs w:val="20"/>
          <w:lang w:val="id-ID"/>
        </w:rPr>
        <w:t>(Lembaran Negara Republik Indonesia Tahun 20</w:t>
      </w:r>
      <w:r>
        <w:rPr>
          <w:rFonts w:ascii="Bookman Old Style" w:hAnsi="Bookman Old Style" w:eastAsia="Times New Roman" w:cs="Arial"/>
          <w:sz w:val="24"/>
          <w:szCs w:val="20"/>
        </w:rPr>
        <w:t>20</w:t>
      </w:r>
      <w:r>
        <w:rPr>
          <w:rFonts w:ascii="Bookman Old Style" w:hAnsi="Bookman Old Style" w:eastAsia="Times New Roman" w:cs="Arial"/>
          <w:sz w:val="24"/>
          <w:szCs w:val="20"/>
          <w:lang w:val="id-ID"/>
        </w:rPr>
        <w:t xml:space="preserve"> Nomor </w:t>
      </w:r>
      <w:r>
        <w:rPr>
          <w:rFonts w:ascii="Bookman Old Style" w:hAnsi="Bookman Old Style" w:eastAsia="Times New Roman" w:cs="Arial"/>
          <w:sz w:val="24"/>
          <w:szCs w:val="20"/>
        </w:rPr>
        <w:t>24</w:t>
      </w:r>
      <w:r>
        <w:rPr>
          <w:rFonts w:ascii="Bookman Old Style" w:hAnsi="Bookman Old Style" w:eastAsia="Times New Roman" w:cs="Arial"/>
          <w:sz w:val="24"/>
          <w:szCs w:val="20"/>
          <w:lang w:val="id-ID"/>
        </w:rPr>
        <w:t>5, Tambahan Lembaran Negara Republik Indonesia</w:t>
      </w:r>
      <w:r>
        <w:rPr>
          <w:rFonts w:ascii="Bookman Old Style" w:hAnsi="Bookman Old Style" w:eastAsia="Times New Roman" w:cs="Arial"/>
          <w:sz w:val="24"/>
          <w:szCs w:val="20"/>
        </w:rPr>
        <w:t xml:space="preserve"> </w:t>
      </w:r>
      <w:r>
        <w:rPr>
          <w:rFonts w:ascii="Bookman Old Style" w:hAnsi="Bookman Old Style" w:eastAsia="Times New Roman" w:cs="Arial"/>
          <w:sz w:val="24"/>
          <w:szCs w:val="20"/>
          <w:lang w:val="id-ID"/>
        </w:rPr>
        <w:t xml:space="preserve">Nomor </w:t>
      </w:r>
      <w:r>
        <w:rPr>
          <w:rFonts w:ascii="Bookman Old Style" w:hAnsi="Bookman Old Style" w:eastAsia="Times New Roman" w:cs="Arial"/>
          <w:sz w:val="24"/>
          <w:szCs w:val="20"/>
        </w:rPr>
        <w:t>6573</w:t>
      </w:r>
      <w:r>
        <w:rPr>
          <w:rFonts w:ascii="Bookman Old Style" w:hAnsi="Bookman Old Style" w:eastAsia="Times New Roman" w:cs="Arial"/>
          <w:sz w:val="24"/>
          <w:szCs w:val="20"/>
          <w:lang w:val="id-ID"/>
        </w:rPr>
        <w:t>);</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Times New Roman"/>
          <w:color w:val="000000"/>
          <w:sz w:val="24"/>
          <w:szCs w:val="20"/>
          <w:lang w:val="es-ES"/>
        </w:rPr>
        <w:t>Undang-Undang Nomor 12 Tahun 2011 tentang Pembentukan Peraturan Perundang-undangan (</w:t>
      </w:r>
      <w:r>
        <w:rPr>
          <w:rFonts w:ascii="Bookman Old Style" w:hAnsi="Bookman Old Style" w:eastAsia="Times New Roman" w:cs="Arial"/>
          <w:color w:val="000000"/>
          <w:sz w:val="24"/>
          <w:szCs w:val="20"/>
          <w:lang w:val="id-ID"/>
        </w:rPr>
        <w:t>Lembaran Negara Republik Indonesia Tahun 20</w:t>
      </w:r>
      <w:r>
        <w:rPr>
          <w:rFonts w:ascii="Bookman Old Style" w:hAnsi="Bookman Old Style" w:eastAsia="Times New Roman" w:cs="Arial"/>
          <w:color w:val="000000"/>
          <w:sz w:val="24"/>
          <w:szCs w:val="20"/>
        </w:rPr>
        <w:t>11</w:t>
      </w:r>
      <w:r>
        <w:rPr>
          <w:rFonts w:ascii="Bookman Old Style" w:hAnsi="Bookman Old Style" w:eastAsia="Times New Roman" w:cs="Arial"/>
          <w:color w:val="000000"/>
          <w:sz w:val="24"/>
          <w:szCs w:val="20"/>
          <w:lang w:val="id-ID"/>
        </w:rPr>
        <w:t xml:space="preserve"> Nomor </w:t>
      </w:r>
      <w:r>
        <w:rPr>
          <w:rFonts w:ascii="Bookman Old Style" w:hAnsi="Bookman Old Style" w:eastAsia="Times New Roman" w:cs="Arial"/>
          <w:color w:val="000000"/>
          <w:sz w:val="24"/>
          <w:szCs w:val="20"/>
        </w:rPr>
        <w:t>82</w:t>
      </w:r>
      <w:r>
        <w:rPr>
          <w:rFonts w:ascii="Bookman Old Style" w:hAnsi="Bookman Old Style" w:eastAsia="Times New Roman" w:cs="Arial"/>
          <w:color w:val="000000"/>
          <w:sz w:val="24"/>
          <w:szCs w:val="20"/>
          <w:lang w:val="id-ID"/>
        </w:rPr>
        <w:t>, Tambahan Lembaran Negara Republik Indonesia</w:t>
      </w:r>
      <w:r>
        <w:rPr>
          <w:rFonts w:ascii="Bookman Old Style" w:hAnsi="Bookman Old Style" w:eastAsia="Times New Roman" w:cs="Arial"/>
          <w:color w:val="000000"/>
          <w:sz w:val="24"/>
          <w:szCs w:val="20"/>
        </w:rPr>
        <w:t xml:space="preserve"> </w:t>
      </w:r>
      <w:r>
        <w:rPr>
          <w:rFonts w:ascii="Bookman Old Style" w:hAnsi="Bookman Old Style" w:eastAsia="Times New Roman" w:cs="Arial"/>
          <w:color w:val="000000"/>
          <w:sz w:val="24"/>
          <w:szCs w:val="20"/>
          <w:lang w:val="id-ID"/>
        </w:rPr>
        <w:t xml:space="preserve">Nomor </w:t>
      </w:r>
      <w:r>
        <w:rPr>
          <w:rFonts w:ascii="Bookman Old Style" w:hAnsi="Bookman Old Style" w:eastAsia="Times New Roman" w:cs="Arial"/>
          <w:color w:val="000000"/>
          <w:sz w:val="24"/>
          <w:szCs w:val="20"/>
        </w:rPr>
        <w:t>5234</w:t>
      </w:r>
      <w:r>
        <w:rPr>
          <w:rFonts w:ascii="Bookman Old Style" w:hAnsi="Bookman Old Style" w:eastAsia="Times New Roman" w:cs="Arial"/>
          <w:color w:val="000000"/>
          <w:sz w:val="24"/>
          <w:szCs w:val="20"/>
          <w:lang w:val="id-ID"/>
        </w:rPr>
        <w:t>) sebagaimana telah diubah dengan Undang-Undang  Nomor 15 Tahun 2019 tentang Perubahan Atas Undang-Undang Nomor 12 Tahun 2011 tentang Pembentukan Peraturan Perundang-undangan (Lembaran Negara Republik Indonesia Tahun 2019 Nomor 183, Tambahan Lembaran Negara Republik Indonesia   Nomor 6398);</w:t>
      </w:r>
    </w:p>
    <w:p>
      <w:pPr>
        <w:numPr>
          <w:ilvl w:val="0"/>
          <w:numId w:val="6"/>
        </w:numPr>
        <w:tabs>
          <w:tab w:val="left" w:pos="851"/>
          <w:tab w:val="clear" w:pos="720"/>
        </w:tabs>
        <w:spacing w:after="0" w:line="360" w:lineRule="auto"/>
        <w:ind w:left="1134" w:hanging="491"/>
        <w:jc w:val="both"/>
        <w:rPr>
          <w:rFonts w:ascii="Bookman Old Style" w:hAnsi="Bookman Old Style" w:eastAsia="Times New Roman" w:cs="Times New Roman"/>
          <w:sz w:val="24"/>
          <w:szCs w:val="20"/>
        </w:rPr>
      </w:pPr>
      <w:r>
        <w:rPr>
          <w:rFonts w:ascii="Bookman Old Style" w:hAnsi="Bookman Old Style" w:eastAsia="Times New Roman" w:cs="Arial"/>
          <w:sz w:val="24"/>
          <w:szCs w:val="20"/>
          <w:lang w:val="id-ID"/>
        </w:rPr>
        <w:t xml:space="preserve">Undang-Undang Nomor 23 Tahun 2014 tentang Pemerintahan Daerah (Lembaran Negara Republik Indonesia Tahun 2014 Nomor 244, Tambahan Lembaran Negara Republik Indonesia Nomor 5587) sebagaimana telah diubah dengan Undang-Undang Nomor </w:t>
      </w:r>
      <w:r>
        <w:rPr>
          <w:rFonts w:ascii="Bookman Old Style" w:hAnsi="Bookman Old Style" w:eastAsia="Times New Roman" w:cs="Arial"/>
          <w:sz w:val="24"/>
          <w:szCs w:val="20"/>
        </w:rPr>
        <w:t>11</w:t>
      </w:r>
      <w:r>
        <w:rPr>
          <w:rFonts w:ascii="Bookman Old Style" w:hAnsi="Bookman Old Style" w:eastAsia="Times New Roman" w:cs="Arial"/>
          <w:sz w:val="24"/>
          <w:szCs w:val="20"/>
          <w:lang w:val="id-ID"/>
        </w:rPr>
        <w:t xml:space="preserve"> Tahun 20</w:t>
      </w:r>
      <w:r>
        <w:rPr>
          <w:rFonts w:ascii="Bookman Old Style" w:hAnsi="Bookman Old Style" w:eastAsia="Times New Roman" w:cs="Arial"/>
          <w:sz w:val="24"/>
          <w:szCs w:val="20"/>
        </w:rPr>
        <w:t>20</w:t>
      </w:r>
      <w:r>
        <w:rPr>
          <w:rFonts w:ascii="Bookman Old Style" w:hAnsi="Bookman Old Style" w:eastAsia="Times New Roman" w:cs="Arial"/>
          <w:sz w:val="24"/>
          <w:szCs w:val="20"/>
          <w:lang w:val="id-ID"/>
        </w:rPr>
        <w:t xml:space="preserve"> tentang </w:t>
      </w:r>
      <w:r>
        <w:rPr>
          <w:rFonts w:ascii="Bookman Old Style" w:hAnsi="Bookman Old Style" w:eastAsia="Times New Roman" w:cs="Arial"/>
          <w:sz w:val="24"/>
          <w:szCs w:val="20"/>
        </w:rPr>
        <w:t>Cipta Kerja</w:t>
      </w:r>
      <w:r>
        <w:rPr>
          <w:rFonts w:ascii="Bookman Old Style" w:hAnsi="Bookman Old Style" w:eastAsia="Times New Roman" w:cs="Arial"/>
          <w:sz w:val="24"/>
          <w:szCs w:val="20"/>
          <w:lang w:val="id-ID"/>
        </w:rPr>
        <w:t xml:space="preserve"> (Lembaran Negara Republik Indonesia Tahun 20</w:t>
      </w:r>
      <w:r>
        <w:rPr>
          <w:rFonts w:ascii="Bookman Old Style" w:hAnsi="Bookman Old Style" w:eastAsia="Times New Roman" w:cs="Arial"/>
          <w:sz w:val="24"/>
          <w:szCs w:val="20"/>
        </w:rPr>
        <w:t>20</w:t>
      </w:r>
      <w:r>
        <w:rPr>
          <w:rFonts w:ascii="Bookman Old Style" w:hAnsi="Bookman Old Style" w:eastAsia="Times New Roman" w:cs="Arial"/>
          <w:sz w:val="24"/>
          <w:szCs w:val="20"/>
          <w:lang w:val="id-ID"/>
        </w:rPr>
        <w:t xml:space="preserve"> Nomor </w:t>
      </w:r>
      <w:r>
        <w:rPr>
          <w:rFonts w:ascii="Bookman Old Style" w:hAnsi="Bookman Old Style" w:eastAsia="Times New Roman" w:cs="Arial"/>
          <w:sz w:val="24"/>
          <w:szCs w:val="20"/>
        </w:rPr>
        <w:t>24</w:t>
      </w:r>
      <w:r>
        <w:rPr>
          <w:rFonts w:ascii="Bookman Old Style" w:hAnsi="Bookman Old Style" w:eastAsia="Times New Roman" w:cs="Arial"/>
          <w:sz w:val="24"/>
          <w:szCs w:val="20"/>
          <w:lang w:val="id-ID"/>
        </w:rPr>
        <w:t xml:space="preserve">5, Tambahan Lembaran Negara Republik Indonesia   Nomor </w:t>
      </w:r>
      <w:r>
        <w:rPr>
          <w:rFonts w:ascii="Bookman Old Style" w:hAnsi="Bookman Old Style" w:eastAsia="Times New Roman" w:cs="Arial"/>
          <w:sz w:val="24"/>
          <w:szCs w:val="20"/>
        </w:rPr>
        <w:t>6573</w:t>
      </w:r>
      <w:r>
        <w:rPr>
          <w:rFonts w:ascii="Bookman Old Style" w:hAnsi="Bookman Old Style" w:eastAsia="Times New Roman" w:cs="Arial"/>
          <w:sz w:val="24"/>
          <w:szCs w:val="20"/>
          <w:lang w:val="id-ID"/>
        </w:rPr>
        <w:t>);</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Peraturan Pemerintah Nomor 39 Tahun 2006 tentang Tata Cara Pengendalian dan Evaluasi Pelaksanaan Rencana Pembangunan (Lembaran Negara Republik Indonesia Tahun 2006 Nomor 96, Tambahan Lembaran Negara Republik Indonesia Nomor 4663); </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Pemerintah Nomor 8 Tahun 2008 tentang Tahapan, Tata Cara Penyusunan, Pengendalian dan Evaluasi Pelaksanaan Rencana Pembangunan Daerah (Lembaran Negara Republik Indonesia Tahun 2008    Nomor 21, Tambahan Lembaran Negara Republik Indonesia Nomor 4817)</w:t>
      </w:r>
      <w:r>
        <w:rPr>
          <w:rFonts w:ascii="Bookman Old Style" w:hAnsi="Bookman Old Style" w:eastAsia="Times New Roman" w:cs="Times New Roman"/>
          <w:bCs/>
          <w:sz w:val="24"/>
          <w:szCs w:val="24"/>
        </w:rPr>
        <w:t>;</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ahoma"/>
          <w:color w:val="000000" w:themeColor="text1"/>
          <w:sz w:val="24"/>
          <w:szCs w:val="24"/>
          <w14:textFill>
            <w14:solidFill>
              <w14:schemeClr w14:val="tx1"/>
            </w14:solidFill>
          </w14:textFill>
        </w:rPr>
        <w:t>Undang-Undang Nomor 20 tahun 2008 tentang Usaha Mikro, Kecil dan Menengah ( Lembaran Negara Republik Indonesia tahun 2008 nomor 93, Tambahan Lembaran Negara Republik Indonesia nomor 4866);</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Arial"/>
          <w:sz w:val="24"/>
          <w:szCs w:val="20"/>
        </w:rPr>
        <w:t>P</w:t>
      </w:r>
      <w:r>
        <w:rPr>
          <w:rFonts w:ascii="Bookman Old Style" w:hAnsi="Bookman Old Style" w:eastAsia="Times New Roman" w:cs="Arial"/>
          <w:sz w:val="24"/>
          <w:szCs w:val="20"/>
          <w:lang w:val="id-ID"/>
        </w:rPr>
        <w:t xml:space="preserve">eraturan Pemerintah Nomor 59 Tahun 2008 tentang Perubahan Nama Kabupaten Selayar </w:t>
      </w:r>
      <w:r>
        <w:rPr>
          <w:rFonts w:ascii="Bookman Old Style" w:hAnsi="Bookman Old Style" w:eastAsia="Times New Roman" w:cs="Arial"/>
          <w:sz w:val="24"/>
          <w:szCs w:val="20"/>
        </w:rPr>
        <w:t>M</w:t>
      </w:r>
      <w:r>
        <w:rPr>
          <w:rFonts w:ascii="Bookman Old Style" w:hAnsi="Bookman Old Style" w:eastAsia="Times New Roman" w:cs="Arial"/>
          <w:sz w:val="24"/>
          <w:szCs w:val="20"/>
          <w:lang w:val="id-ID"/>
        </w:rPr>
        <w:t>enjadi Kabupaten Kepulauan Selayar Provinsi Sulawesi Selatan (Lembaran Negara Republik Indonesia Tahun 2008 Nomor 124, Tambahan Lembaran Negara Republik Indonesia  Nomor 4889);</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ahoma"/>
          <w:color w:val="000000" w:themeColor="text1"/>
          <w:sz w:val="24"/>
          <w:szCs w:val="24"/>
          <w14:textFill>
            <w14:solidFill>
              <w14:schemeClr w14:val="tx1"/>
            </w14:solidFill>
          </w14:textFill>
        </w:rPr>
        <w:t>Undang-Undang Nomor 7 Tahun 2014 tentang Perdagangan (Lembaran Negara Republik Indonesia tahun 2014 Nomor 45);</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 ntah Nomor 18 Tahun 2016 tentang Perangkat Daerah (Lembaran Negara Republik Indonesia Tahun 2016 Nomor 114, Tambahan Lembaran Negara Republik Indonesia Nomor 5888) sebagaimana telah diubah dengan Peraturan Pemerintah Nomor 72 Tahun 2019 tentang Perubahan Atas Peraturan Pemerintah Nomor 18 Tahun 2016 tentang Perangkat Daerah (Lembaran Negara Republik Indonesia Tahun 2019 Nomor 187, Tambahan Lembaran Negara Republik Indonesia Nomor 6402);</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Pemerintah Nomor 46 Tahun 2016 tentang Tata Cara Penyelenggaraan Kajian Lingkungan Hidup Strategis (Lembaran Negara Republik Indonesia  Tahun 2016 Nomor 228, Tambahan Lembaran Negara Republik Indonesia Nomor 5941);</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Pemerintah Nomor 12 Tahun 2017 tentang Pembinaan dan Pengawasan Penyelenggaraan Pemerintahan Daerah (Lembaran Negara Republik Indonesia  Tahun 2017 Nomor 73, Tambahan Lembaran Negara Republik Indonesia Nomor 6041);</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Pemerintah Nomor 12 Tahun 2019 tentang Pengelolaan  Keuangan Daerah (Lembaran Negara Republik Indonesia Tahun 2019 Nomor 42, Tambahan Lembaran Negara Republik Indonesia Nomor 6322);</w:t>
      </w:r>
    </w:p>
    <w:p>
      <w:pPr>
        <w:widowControl w:val="0"/>
        <w:numPr>
          <w:ilvl w:val="0"/>
          <w:numId w:val="6"/>
        </w:numPr>
        <w:tabs>
          <w:tab w:val="left" w:pos="567"/>
          <w:tab w:val="left" w:pos="851"/>
          <w:tab w:val="clear" w:pos="720"/>
        </w:tabs>
        <w:overflowPunct w:val="0"/>
        <w:autoSpaceDE w:val="0"/>
        <w:autoSpaceDN w:val="0"/>
        <w:adjustRightInd w:val="0"/>
        <w:spacing w:after="0" w:line="360" w:lineRule="auto"/>
        <w:ind w:left="1134" w:hanging="491"/>
        <w:contextualSpacing/>
        <w:jc w:val="both"/>
        <w:textAlignment w:val="baseline"/>
        <w:rPr>
          <w:rFonts w:ascii="Bookman Old Style" w:hAnsi="Bookman Old Style" w:eastAsia="Times New Roman" w:cs="Times New Roman"/>
          <w:sz w:val="24"/>
          <w:szCs w:val="24"/>
        </w:rPr>
      </w:pPr>
      <w:r>
        <w:rPr>
          <w:rFonts w:ascii="Bookman Old Style" w:hAnsi="Bookman Old Style" w:eastAsia="Times New Roman" w:cs="Times New Roman"/>
          <w:sz w:val="24"/>
          <w:szCs w:val="24"/>
        </w:rPr>
        <w:t>Peraturan Pemerintah Nomor 13 Tahun 2019 tentang Laporan dan Evaluasi Penyelenggaraan Pemerintahan Daerah (Lembaran Negara Republik Indonesia   Tahun 2019 Nomor 52, Tambahan Lembaran Negara Republik Indonesia Nomor 6323);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Undang-Undang Nomor 11 Tahun 2020 tentang Cipta Kerja (Tambahan Lembaran Negara Republik Indonesia Nomor 6573);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Undang-Undang Nomor 7 Tahun 2021 tentang Kemudahan, Perlindungan dan Pemberdayaan Koperasi dan UMKM (Lembaran Negara Republik Indonesia Tahun 2021 Nomor 17, Tambahan Lembaran Negara Republik Indonesia Nomor 6619);</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z w:val="24"/>
          <w:szCs w:val="24"/>
        </w:rPr>
        <w:t>Peraturan Pemerintah Nomor 21 Tahun 2021 tentang Penyelenggaraan Penataan Ruang (Lembaran Negara Republik Indonesia Tahun 2021 Nomor 31, Tambahan Lembaran Negara Republik Indonesia Nomor 6633);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z w:val="24"/>
          <w:szCs w:val="24"/>
        </w:rPr>
        <w:t>Peraturan Presiden Nomor 18 Tahun 2020 tentang Rencana Pembangunan Jangka Menengah Nasional Tahun 2020-2024 (Lembaran Negara Republik Indonesia Tahun 2020 Nomor 10);</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z w:val="24"/>
          <w:szCs w:val="20"/>
        </w:rPr>
        <w:t>Peraturan Menteri Dalam Negeri Nomor 67 Tahun 2012 tentang Pedoman Pelaksanaan Kajian Lingkungan Hidup Strategis dalam Penyusunan atau Evaluasi Rencana Pembangunan Daerah;</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lang w:val="id-ID"/>
        </w:rPr>
        <w:t xml:space="preserve">Peraturan Menteri Dalam Negeri Nomor </w:t>
      </w:r>
      <w:r>
        <w:rPr>
          <w:rFonts w:ascii="Bookman Old Style" w:hAnsi="Bookman Old Style" w:eastAsia="Times New Roman" w:cs="Arial"/>
          <w:sz w:val="24"/>
          <w:szCs w:val="20"/>
        </w:rPr>
        <w:t>86</w:t>
      </w:r>
      <w:r>
        <w:rPr>
          <w:rFonts w:ascii="Bookman Old Style" w:hAnsi="Bookman Old Style" w:eastAsia="Times New Roman" w:cs="Arial"/>
          <w:sz w:val="24"/>
          <w:szCs w:val="20"/>
          <w:lang w:val="id-ID"/>
        </w:rPr>
        <w:t xml:space="preserve"> Tahun 201</w:t>
      </w:r>
      <w:r>
        <w:rPr>
          <w:rFonts w:ascii="Bookman Old Style" w:hAnsi="Bookman Old Style" w:eastAsia="Times New Roman" w:cs="Arial"/>
          <w:sz w:val="24"/>
          <w:szCs w:val="20"/>
        </w:rPr>
        <w:t>7</w:t>
      </w:r>
      <w:r>
        <w:rPr>
          <w:rFonts w:ascii="Bookman Old Style" w:hAnsi="Bookman Old Style" w:eastAsia="Times New Roman" w:cs="Arial"/>
          <w:sz w:val="24"/>
          <w:szCs w:val="20"/>
          <w:lang w:val="id-ID"/>
        </w:rPr>
        <w:t xml:space="preserve"> tentang </w:t>
      </w:r>
      <w:r>
        <w:rPr>
          <w:rFonts w:ascii="Bookman Old Style" w:hAnsi="Bookman Old Style" w:eastAsia="Times New Roman" w:cs="Arial"/>
          <w:sz w:val="24"/>
          <w:szCs w:val="20"/>
        </w:rPr>
        <w:t>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w:t>
      </w:r>
      <w:r>
        <w:rPr>
          <w:rFonts w:ascii="Bookman Old Style" w:hAnsi="Bookman Old Style" w:eastAsia="Times New Roman" w:cs="Arial"/>
          <w:sz w:val="24"/>
          <w:szCs w:val="20"/>
          <w:lang w:val="id-ID"/>
        </w:rPr>
        <w:t xml:space="preserve"> Rencana Kerja </w:t>
      </w:r>
      <w:r>
        <w:rPr>
          <w:rFonts w:ascii="Bookman Old Style" w:hAnsi="Bookman Old Style" w:eastAsia="Times New Roman" w:cs="Arial"/>
          <w:sz w:val="24"/>
          <w:szCs w:val="20"/>
        </w:rPr>
        <w:t>Pemerintah</w:t>
      </w:r>
      <w:r>
        <w:rPr>
          <w:rFonts w:ascii="Bookman Old Style" w:hAnsi="Bookman Old Style" w:eastAsia="Times New Roman" w:cs="Arial"/>
          <w:sz w:val="24"/>
          <w:szCs w:val="20"/>
          <w:lang w:val="id-ID"/>
        </w:rPr>
        <w:t xml:space="preserve"> Daerah (Berita Negara Republik Indonesia Tahun 201</w:t>
      </w:r>
      <w:r>
        <w:rPr>
          <w:rFonts w:ascii="Bookman Old Style" w:hAnsi="Bookman Old Style" w:eastAsia="Times New Roman" w:cs="Arial"/>
          <w:sz w:val="24"/>
          <w:szCs w:val="20"/>
        </w:rPr>
        <w:t>7</w:t>
      </w:r>
      <w:r>
        <w:rPr>
          <w:rFonts w:ascii="Bookman Old Style" w:hAnsi="Bookman Old Style" w:eastAsia="Times New Roman" w:cs="Arial"/>
          <w:sz w:val="24"/>
          <w:szCs w:val="20"/>
          <w:lang w:val="id-ID"/>
        </w:rPr>
        <w:t xml:space="preserve"> Nomor </w:t>
      </w:r>
      <w:r>
        <w:rPr>
          <w:rFonts w:ascii="Bookman Old Style" w:hAnsi="Bookman Old Style" w:eastAsia="Times New Roman" w:cs="Arial"/>
          <w:sz w:val="24"/>
          <w:szCs w:val="20"/>
        </w:rPr>
        <w:t>1312 Peraturan Menteri Dalam Negeri Nomor 7 Tahun 2018 tentang Pembuatan dan Pelaksanaan Kajian Lingkungan Hidup Strategis Dalam Penyusunan Rencana Pembangunan Jangka Menengah Daerah (Berita Negara Republik Indonesia Tahun 2018 Nomor 459);</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rPr>
        <w:t>Peraturan Menteri Dalam Negeri Nomor 7 Tahun 2018 tentang Pembuatan dan Pelaksanaan Kajian Lingkungan Hidup Strategis Dalam Penyusunan Rencana Pembangunan Jangka Menengah Daerah (Berita Negara Republik Indonesia Tahun 2018 Nomor 459);</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rPr>
        <w:t>Peraturan Menteri Dalam Negeri Nomor 70 Tahun 2019 tentang Sistem Informasi Pemerintahan Daerah (Berita Negara Republik Indonesia Tahun 2019 Nomor 114);</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rPr>
        <w:t>Peraturan Menteri Dalam Negeri Nomor 90 Tahun 2019 tentang Klasifikasi, Kodefikasi, dan Nomenklatur Perencanaan Pembangunan dan Keuangan Daerah (Berita Negara Republik Indonesia Tahun 2019 Nomor 1447);</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rPr>
        <w:t>Peraturan Menteri Dalam Negeri Nomor 18 Tahun 2020 tentang Peraturan Pelaksanaan Peraturan Pemerintah Nomor 13 Tahun 2019 tentang Laporan dan Evaluasi Penyelenggaraan Pemerintahan Daerah (Berita Negara Republik Indonesia Tahun 2020 Nomor 288);</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Arial"/>
          <w:sz w:val="24"/>
          <w:szCs w:val="20"/>
        </w:rPr>
        <w:t>Keputusan Menteri Dalam Negeri Nomor 050-3708 Tahun 2020 tentang Hasil Verifikasi dan Validasi Pemutakhiran Klasifikasi, Kodefikasi dan Nomenklatur Perencanaan Pembangunan dan Keuangan Daerah.</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Keputusan Menteri Dalam Negeri Nomor 050-5889 Tahun 2021 tentang Hasil Verifikasi dan Validasi Pemutakhiran Klasifikasi, Kodefikasi dan Nomenklatur Perencanaan Pembangunan dan Keuangan Daerah;</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Keputusan Mentri Dalam Negeri Nomor 900.1.15.5-1317 Tahun 2023 Tentang Perubahan atas Keputusan Menteri Dalam Negeri Nomor 050-5889 Tahun 2021 tentang Verifikasi,Validasi dan Inventasrisasi Pemutakhiran Klasfikasi, Kodefikasi dan Nomenklatur Perencanaan Pembangunan dan Keuangan Daerah.</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Bookman Old Style"/>
          <w:spacing w:val="-2"/>
          <w:sz w:val="24"/>
          <w:szCs w:val="24"/>
        </w:rPr>
        <w:t>Peraturan Daerah Provinsi Sulawesi Selatan Nomor 3 Tahun 2022 tentang Rencana Tata Ruang Wilayah Provinsi Sulawesi Selatan Tahun 2022-2041 (Lembaran Daerah Provinsi Sulawesi Selatan Tahun 2022 Nomor 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pacing w:val="-2"/>
          <w:sz w:val="24"/>
          <w:szCs w:val="20"/>
        </w:rPr>
        <w:t>Peraturan Daerah Provinsi Sulawesi Selatan Nomor 2 Tahun 2010 tentang Sistem Perencanaan Pembangunan Daerah (Lembaran Daerah Provinsi Sulawesi Selatan Tahun 2010 Nomor 2, Tambahan Lembaran Daerah Provinsi Sulawesi Selatan Nomor 251);</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pacing w:val="-2"/>
          <w:sz w:val="24"/>
          <w:szCs w:val="20"/>
        </w:rPr>
        <w:t>Peraturan Daerah Provinsi Sulawesi Selatan Nomor 1 Tahun 2019 tentang Rencana Pembangunan Jangka Menengah Daerah Provinsi Sulawesi Selatan Tahun 2018-2023 (Lembaran Daerah Provinsi Sulawesi Selatan Tahun 2019 Nomor 1) sebagaimana telah diubah dengan Peraturan Daerah Provinsi Sulawesi Selatan Nomor 1 Tahun 2021 tentang Perubahan Atas Peraturan Daerah Provinsi Sulawesi Selatan Nomor 1 Tahun 2019 tentang Rencana Pembangunan Jangka Menengah Daerah Provinsi Sulawesi Selatan Tahun 2018-2023 (Lembaran Daerah Provinsi Sulawesi Selatan Tahun 2021 Nomor 1, Tambahan Lembaran Daerah Provinsi Sulawesi Selatan Nomor 314);</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pacing w:val="-2"/>
          <w:sz w:val="24"/>
          <w:szCs w:val="20"/>
        </w:rPr>
        <w:t xml:space="preserve">Peraturan Daerah Kabupaten Kepulauan Selayar Nomor 10 Tahun 2009 tentang Rencana Pembangunan Jangka Panjang Daerah (RPJPD) Kabupaten Kepulauan Selayar Tahun 2005-2025 (Lembaran Daerah Kabupaten Kepulauan Selayar Tahun 2009 Nomor 10); </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pacing w:val="-2"/>
          <w:sz w:val="24"/>
          <w:szCs w:val="20"/>
        </w:rPr>
        <w:t xml:space="preserve">Peraturan Daerah Kabupaten Kepulauan Selayar Nomor 3 Tahun 2010 tentang Tata Cara Penyusunan Perencanaan Pembangunan Daerah dan Pelaksanaan Musyawarah Perencanaan Pembangunan Daerah (Lembaran Daerah Kabupaten Kepulauan Selayar Tahun 2010             Nomor 3); </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spacing w:val="-2"/>
          <w:sz w:val="24"/>
          <w:szCs w:val="20"/>
        </w:rPr>
        <w:t xml:space="preserve">Peraturan Daerah Kabupaten Kepulauan Selayar Nomor 5 Tahun 2012 tentang Rencana Tata Ruang Wilayah Kabupaten Kepulauan Selayar Tahun 2012-2032 (Lembaran Daerah Kabupaten Kepulauan Selayar Tahun 2012 Nomor 28, Tambahan Lembaran Daerah Kabupaten Kepulauan Selayar Nomor 12); </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sz w:val="24"/>
          <w:szCs w:val="24"/>
        </w:rPr>
      </w:pPr>
      <w:r>
        <w:rPr>
          <w:rFonts w:ascii="Bookman Old Style" w:hAnsi="Bookman Old Style" w:eastAsia="Times New Roman" w:cs="Bookman Old Style"/>
          <w:spacing w:val="-2"/>
          <w:sz w:val="24"/>
          <w:szCs w:val="24"/>
        </w:rPr>
        <w:t>Peraturan Daerah Kabupaten Kepulaun Selayar nomor 4 Tahun 2020 tentang pembentukan dan susunan perangkat daerah (Lembar Daerah Kabupaten Kepulauan Selayar Nomor 47) sebagaimana telah diubah dengan Peraturan Daerah Kabupaten Kepulauan Selayar nomor 4 Tahun 2022 tentang Perubahan Atas Peraturan Daerah Kabupaten Kepulauan Selayar Nomor 4 Tahun 2020 tentang Pembentukan dan Susunan Perangkat Daerah (Lembar Daerah Kabupaten Kepulauan Selayar Tahun 2020 Nomor 113).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sz w:val="24"/>
          <w:szCs w:val="24"/>
        </w:rPr>
      </w:pPr>
      <w:r>
        <w:rPr>
          <w:rFonts w:ascii="Bookman Old Style" w:hAnsi="Bookman Old Style" w:eastAsia="Times New Roman" w:cs="Times New Roman"/>
          <w:spacing w:val="-2"/>
          <w:sz w:val="24"/>
          <w:szCs w:val="20"/>
        </w:rPr>
        <w:t>Peraturan Daerah Kabupaten Kepulauan Selayar Nomor 2 Tahun 2021 tentang Rencana Pembangunan Jangka Menengah Daerah Tahun 2021-2026 (Lembaran Daerah Kabupaten Kepulauan Selayar Tahun 2021 Nomor 103);</w:t>
      </w:r>
    </w:p>
    <w:p>
      <w:pPr>
        <w:numPr>
          <w:ilvl w:val="0"/>
          <w:numId w:val="6"/>
        </w:numPr>
        <w:tabs>
          <w:tab w:val="left" w:pos="851"/>
          <w:tab w:val="clear" w:pos="720"/>
        </w:tabs>
        <w:spacing w:before="120" w:after="0" w:line="360" w:lineRule="auto"/>
        <w:ind w:left="1134" w:hanging="491"/>
        <w:contextualSpacing/>
        <w:jc w:val="both"/>
        <w:rPr>
          <w:rFonts w:ascii="Bookman Old Style" w:hAnsi="Bookman Old Style" w:eastAsia="Times New Roman" w:cs="Tahoma"/>
          <w:sz w:val="24"/>
          <w:szCs w:val="24"/>
        </w:rPr>
      </w:pPr>
      <w:r>
        <w:rPr>
          <w:rFonts w:ascii="Bookman Old Style" w:hAnsi="Bookman Old Style" w:eastAsia="Times New Roman" w:cs="Bookman Old Style"/>
          <w:spacing w:val="-2"/>
          <w:sz w:val="24"/>
          <w:szCs w:val="24"/>
        </w:rPr>
        <w:t>Peraturan Bupati Kepulauan Selayar Nomor 49 Tahun 2022 tentang Kedudukan, Susunan Organisasi, Tugas dan Fungsi, Serta Tata Kerja Dinas Perdagangan, Koperasi dan Usaha Kecil dan Menengah</w:t>
      </w:r>
      <w:r>
        <w:rPr>
          <w:rFonts w:ascii="Bookman Old Style" w:hAnsi="Bookman Old Style" w:eastAsia="Times New Roman" w:cs="Bookman Old Style"/>
          <w:sz w:val="24"/>
          <w:szCs w:val="24"/>
        </w:rPr>
        <w:t>.</w:t>
      </w:r>
    </w:p>
    <w:p>
      <w:pPr>
        <w:tabs>
          <w:tab w:val="left" w:pos="567"/>
          <w:tab w:val="left" w:pos="851"/>
          <w:tab w:val="left" w:pos="2520"/>
        </w:tabs>
        <w:spacing w:after="0" w:line="360" w:lineRule="auto"/>
        <w:ind w:left="1134"/>
        <w:jc w:val="both"/>
        <w:rPr>
          <w:rFonts w:ascii="Bookman Old Style" w:hAnsi="Bookman Old Style" w:eastAsia="Times New Roman" w:cs="Arial"/>
          <w:sz w:val="24"/>
          <w:szCs w:val="20"/>
          <w:lang w:val="id-ID"/>
        </w:rPr>
      </w:pPr>
    </w:p>
    <w:p>
      <w:pPr>
        <w:numPr>
          <w:ilvl w:val="1"/>
          <w:numId w:val="5"/>
        </w:numPr>
        <w:spacing w:after="0" w:line="360" w:lineRule="auto"/>
        <w:ind w:left="709" w:hanging="709"/>
        <w:contextualSpacing/>
        <w:jc w:val="both"/>
        <w:rPr>
          <w:rFonts w:ascii="Bookman Old Style" w:hAnsi="Bookman Old Style" w:eastAsia="Times New Roman" w:cs="Tahoma"/>
          <w:sz w:val="24"/>
          <w:szCs w:val="24"/>
          <w:lang w:val="fi-FI"/>
        </w:rPr>
      </w:pPr>
      <w:r>
        <w:rPr>
          <w:rFonts w:ascii="Bookman Old Style" w:hAnsi="Bookman Old Style" w:eastAsia="Times New Roman" w:cs="Tahoma"/>
          <w:sz w:val="24"/>
          <w:szCs w:val="24"/>
          <w:lang w:val="fi-FI"/>
        </w:rPr>
        <w:t xml:space="preserve">Maksud dan Tujuan </w:t>
      </w:r>
    </w:p>
    <w:p>
      <w:pPr>
        <w:tabs>
          <w:tab w:val="left" w:pos="1701"/>
        </w:tabs>
        <w:autoSpaceDE w:val="0"/>
        <w:autoSpaceDN w:val="0"/>
        <w:adjustRightInd w:val="0"/>
        <w:spacing w:after="0" w:line="360" w:lineRule="auto"/>
        <w:ind w:left="709"/>
        <w:jc w:val="both"/>
        <w:rPr>
          <w:rFonts w:ascii="Bookman Old Style" w:hAnsi="Bookman Old Style" w:eastAsia="Times New Roman" w:cs="Tahoma"/>
          <w:sz w:val="24"/>
          <w:szCs w:val="24"/>
          <w:lang w:eastAsia="id-ID"/>
        </w:rPr>
      </w:pP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 xml:space="preserve">Penyusunan Perubahan Renstra Dinas Perdagangan, Koperasi dan Usaha Kecil dan Menengah Daerah Kabupaten Kepulauan Selayar ini dimaksudkan sebagai pedoman dan alat kegiatan yang akan dilaksanakan oleh Dinas Perdagangan, Koperasi dan Usaha Kecil Menengah Kabupaten Kepulauan Selayar Tahun 2021 – 2026, dan sebagai acuan dalam penyusunan rencana, monitoring serta evaluasi capaian program/kegiatan Dinas Perdagangan, Koperasi dan Usaha Kecil dan Menengah Kabupaten Kepulauan Selayar. </w:t>
      </w:r>
    </w:p>
    <w:p>
      <w:pPr>
        <w:tabs>
          <w:tab w:val="left" w:pos="1701"/>
        </w:tabs>
        <w:autoSpaceDE w:val="0"/>
        <w:autoSpaceDN w:val="0"/>
        <w:adjustRightInd w:val="0"/>
        <w:spacing w:after="0" w:line="360" w:lineRule="auto"/>
        <w:ind w:left="709"/>
        <w:jc w:val="both"/>
        <w:rPr>
          <w:rFonts w:ascii="Bookman Old Style" w:hAnsi="Bookman Old Style" w:eastAsia="Times New Roman" w:cs="Tahoma"/>
          <w:sz w:val="24"/>
          <w:szCs w:val="24"/>
          <w:lang w:eastAsia="id-ID"/>
        </w:rPr>
      </w:pP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Maksud penyusunan perubahan Renstra Dinas Perdagangan, Koperasi dan Usaha Kecil dan Menengah Kabupaten Kepulauan Selayar Tahun 2021-2026, meliputi :</w:t>
      </w:r>
    </w:p>
    <w:p>
      <w:pPr>
        <w:numPr>
          <w:ilvl w:val="0"/>
          <w:numId w:val="7"/>
        </w:numPr>
        <w:tabs>
          <w:tab w:val="left" w:pos="1701"/>
        </w:tabs>
        <w:autoSpaceDE w:val="0"/>
        <w:autoSpaceDN w:val="0"/>
        <w:adjustRightInd w:val="0"/>
        <w:spacing w:after="0" w:line="360" w:lineRule="auto"/>
        <w:ind w:left="1134" w:hanging="425"/>
        <w:jc w:val="both"/>
        <w:rPr>
          <w:rFonts w:ascii="Bookman Old Style" w:hAnsi="Bookman Old Style" w:eastAsia="Times New Roman" w:cs="Tahoma"/>
          <w:sz w:val="24"/>
          <w:szCs w:val="24"/>
          <w:lang w:eastAsia="id-ID"/>
        </w:rPr>
      </w:pPr>
      <w:r>
        <w:rPr>
          <w:rFonts w:ascii="Bookman Old Style" w:hAnsi="Bookman Old Style" w:eastAsia="Times New Roman" w:cs="Tahoma"/>
          <w:sz w:val="24"/>
          <w:szCs w:val="24"/>
          <w:lang w:eastAsia="id-ID"/>
        </w:rPr>
        <w:t>Sebagai pedoman dalam pelaksanaan pemerintahan dan pembangunan oleh Perangkat Daerah yang akan dilaksanakan                     5 (lima) tahun kedepan dalam rangka mendorong pencapaian visi dan misi Pemerintah Daerah Kabupaten Kepulauan Selayar sebagaimana tertuang dalam Rencana Pembangunan Jangka Menengah (RPJMD) Kabupaten Kepulauan Selayar Tahun 2021-2026;</w:t>
      </w:r>
    </w:p>
    <w:p>
      <w:pPr>
        <w:numPr>
          <w:ilvl w:val="0"/>
          <w:numId w:val="7"/>
        </w:numPr>
        <w:tabs>
          <w:tab w:val="left" w:pos="1701"/>
        </w:tabs>
        <w:autoSpaceDE w:val="0"/>
        <w:autoSpaceDN w:val="0"/>
        <w:adjustRightInd w:val="0"/>
        <w:spacing w:after="0" w:line="360" w:lineRule="auto"/>
        <w:ind w:left="1134" w:hanging="425"/>
        <w:jc w:val="both"/>
        <w:rPr>
          <w:rFonts w:ascii="Bookman Old Style" w:hAnsi="Bookman Old Style" w:eastAsia="Times New Roman" w:cs="Tahoma"/>
          <w:sz w:val="24"/>
          <w:szCs w:val="24"/>
          <w:lang w:eastAsia="id-ID"/>
        </w:rPr>
      </w:pPr>
      <w:r>
        <w:rPr>
          <w:rFonts w:ascii="Bookman Old Style" w:hAnsi="Bookman Old Style" w:eastAsia="Times New Roman" w:cs="Tahoma"/>
          <w:sz w:val="24"/>
          <w:szCs w:val="24"/>
          <w:lang w:eastAsia="id-ID"/>
        </w:rPr>
        <w:t>Untuk sinkronisasi Tujuan, Sasaran, Program dan kegiatan Dinas Perdagangan,Koperasi dan Usaha Kecil dan Menengah dengan Program Prioritas Rencana Pembangunan Jangka Menengah (RPJMD) Kabupaten Kepulauan Selayar Tahun 2021-2026;</w:t>
      </w:r>
    </w:p>
    <w:p>
      <w:pPr>
        <w:numPr>
          <w:ilvl w:val="0"/>
          <w:numId w:val="7"/>
        </w:numPr>
        <w:tabs>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Sebagai acuan dalam penyusunan Renja Perangkat Daerah.</w:t>
      </w:r>
    </w:p>
    <w:p>
      <w:pPr>
        <w:tabs>
          <w:tab w:val="left" w:pos="1701"/>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Sedangkan tujuan penyusunan Perubahan Renstra Dinas Perdagangan, Koperasi dan Usaha Kecil dan Menengah Kabupaten Kepulauan Selayar Tahun 2021-2026, adalah :</w:t>
      </w:r>
    </w:p>
    <w:p>
      <w:pPr>
        <w:tabs>
          <w:tab w:val="left" w:pos="1134"/>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Sebagai pedoman dalam penyusunan Rencana Kerja Tahunan Dinas Perdagangan, Koperasi dan Usaha Kecil dan Menengah Kabupaten Kepulauan Selayar dalam kurun waktu Tahun 2021-2026;</w:t>
      </w:r>
    </w:p>
    <w:p>
      <w:pPr>
        <w:tabs>
          <w:tab w:val="left" w:pos="1134"/>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Untuk meningkatkan pelaksanaan tugas dan fungsi Dinas Perdagangan, Koperasi dan Usaha Kecil dan Menengah beserta seluruh unit kerjanya;</w:t>
      </w:r>
    </w:p>
    <w:p>
      <w:pPr>
        <w:tabs>
          <w:tab w:val="left" w:pos="1134"/>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Memudahkan pengukuran pencapaian kinerja Perangkat Daerah;</w:t>
      </w:r>
    </w:p>
    <w:p>
      <w:pPr>
        <w:tabs>
          <w:tab w:val="left" w:pos="1134"/>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Memudahkan pengendalian kegiatan serta pelaksanaan koordinasi dengan instansi terkait, monitoring, evaluasi kegiatan baik secara internal maupun eksternal yang menjadi kerangka dasar bagi Perangkat Daerah dalam upaya meningkatkan kualitas perencanaan pembangunan;</w:t>
      </w:r>
    </w:p>
    <w:p>
      <w:pPr>
        <w:tabs>
          <w:tab w:val="left" w:pos="1134"/>
          <w:tab w:val="left" w:pos="1701"/>
        </w:tabs>
        <w:autoSpaceDE w:val="0"/>
        <w:autoSpaceDN w:val="0"/>
        <w:adjustRightInd w:val="0"/>
        <w:spacing w:after="0" w:line="360" w:lineRule="auto"/>
        <w:ind w:left="1134"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5.</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Meningkatkan koordinasi, sinkronisasi dan sinergi antar bidang dalam perangkat Daerah</w:t>
      </w:r>
    </w:p>
    <w:p>
      <w:pPr>
        <w:spacing w:after="164" w:line="360" w:lineRule="auto"/>
        <w:jc w:val="both"/>
        <w:rPr>
          <w:rFonts w:ascii="Bookman Old Style" w:hAnsi="Bookman Old Style" w:eastAsia="Times New Roman" w:cs="Tahoma"/>
          <w:color w:val="000000" w:themeColor="text1"/>
          <w:sz w:val="14"/>
          <w:szCs w:val="24"/>
          <w14:textFill>
            <w14:solidFill>
              <w14:schemeClr w14:val="tx1"/>
            </w14:solidFill>
          </w14:textFill>
        </w:rPr>
      </w:pPr>
    </w:p>
    <w:p>
      <w:pPr>
        <w:keepNext/>
        <w:numPr>
          <w:ilvl w:val="1"/>
          <w:numId w:val="5"/>
        </w:numPr>
        <w:tabs>
          <w:tab w:val="left" w:pos="360"/>
          <w:tab w:val="left" w:pos="709"/>
        </w:tabs>
        <w:spacing w:after="0" w:line="360" w:lineRule="auto"/>
        <w:ind w:left="1080" w:hanging="1080"/>
        <w:jc w:val="both"/>
        <w:outlineLvl w:val="1"/>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Sistematika Penulisan</w:t>
      </w:r>
    </w:p>
    <w:p>
      <w:pPr>
        <w:spacing w:after="0" w:line="240" w:lineRule="auto"/>
        <w:rPr>
          <w:rFonts w:ascii="Times New Roman" w:hAnsi="Times New Roman" w:eastAsia="Times New Roman" w:cs="Times New Roman"/>
          <w:color w:val="000000" w:themeColor="text1"/>
          <w:sz w:val="24"/>
          <w:szCs w:val="20"/>
          <w14:textFill>
            <w14:solidFill>
              <w14:schemeClr w14:val="tx1"/>
            </w14:solidFill>
          </w14:textFill>
        </w:rPr>
      </w:pPr>
    </w:p>
    <w:p>
      <w:pPr>
        <w:tabs>
          <w:tab w:val="left" w:pos="1134"/>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Rancangan Renstra Dinas Perdagangan, Koperasi dan Usaha Kecil dan Menengah Kabupaten Kepulauan Selayar disusun dengan sistematika penulisan, sebagai berikut :</w:t>
      </w:r>
    </w:p>
    <w:p>
      <w:pPr>
        <w:tabs>
          <w:tab w:val="left" w:pos="1134"/>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843"/>
          <w:tab w:val="left" w:leader="dot" w:pos="8820"/>
          <w:tab w:val="right" w:pos="9214"/>
          <w:tab w:val="right" w:pos="9360"/>
        </w:tabs>
        <w:spacing w:after="0" w:line="360" w:lineRule="auto"/>
        <w:ind w:left="709"/>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I</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PENDAHULUAN</w:t>
      </w:r>
    </w:p>
    <w:p>
      <w:pPr>
        <w:tabs>
          <w:tab w:val="left" w:pos="1843"/>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Yang memuat uraian latar belakang wajibnya disusun Renstra Dinas Perdagangan, Koperasi dan Usaha Kecil dan Menengah Kabupaten Kepulauan Selayar Tahun 2021-2026, landasan hukum yang dijadikan dasar penyusunan Renstra, maksud dan tujuan penyusunan Renstra, serta garis besar sistematika penulisan.</w:t>
      </w:r>
    </w:p>
    <w:p>
      <w:pPr>
        <w:tabs>
          <w:tab w:val="left" w:pos="1080"/>
          <w:tab w:val="left" w:pos="1701"/>
          <w:tab w:val="left" w:pos="1985"/>
          <w:tab w:val="left" w:leader="dot" w:pos="8820"/>
          <w:tab w:val="right" w:pos="9214"/>
          <w:tab w:val="right" w:pos="9360"/>
        </w:tabs>
        <w:spacing w:after="0" w:line="360" w:lineRule="auto"/>
        <w:ind w:left="1843" w:hanging="113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BAB. II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GAMBARAN PELAYANAN DINAS PERDAGANGAN, KOPERASI DAN USAHA KECIL DAN MENENGAH  </w:t>
      </w:r>
    </w:p>
    <w:p>
      <w:pPr>
        <w:tabs>
          <w:tab w:val="left" w:pos="1843"/>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Yang  memuat   tugas, fungsi, dan struktur organisasi Dinas Perdagangan, Koperasi dan Usaha Kecil dan Menengah Kabupaten Kepulauan Selayar, serta sumber daya yang dimiliki, dan kinerja pelayanan yang telah dilaksanakan tahun sebelumnya, yang dilengkapi dengan tantangan dan peluang  pengembangan pelayanan.</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418"/>
          <w:tab w:val="left" w:pos="1701"/>
          <w:tab w:val="left" w:pos="1843"/>
          <w:tab w:val="left" w:pos="1985"/>
          <w:tab w:val="left" w:leader="dot" w:pos="8820"/>
          <w:tab w:val="right" w:pos="9214"/>
          <w:tab w:val="right" w:pos="9360"/>
        </w:tabs>
        <w:spacing w:after="0" w:line="276"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III</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PERMASALAHAN DAN ISU-ISU STRATEGIS DINAS PERDAGANGAN, KOPERASI DAN USAHA KECIL DAN MENENGAH</w:t>
      </w:r>
    </w:p>
    <w:p>
      <w:pPr>
        <w:tabs>
          <w:tab w:val="left" w:pos="1843"/>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Yang memuat identifikasi permasalahan dan isu strategis Dinas Perdagangan, Koperasi dan Usaha Kecil dan Menengah yang menjadi dasar utama dalam penjabaran visi dan misi pembangunan lima tahun mendatang.</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418"/>
          <w:tab w:val="left" w:pos="1701"/>
          <w:tab w:val="left" w:pos="1843"/>
          <w:tab w:val="left" w:pos="1985"/>
          <w:tab w:val="left" w:leader="dot" w:pos="8820"/>
          <w:tab w:val="right" w:pos="9214"/>
          <w:tab w:val="right" w:pos="9360"/>
        </w:tabs>
        <w:spacing w:after="0" w:line="276" w:lineRule="auto"/>
        <w:ind w:left="1843" w:hanging="113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IV</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TUJUAN DAN SASARAN</w:t>
      </w:r>
    </w:p>
    <w:p>
      <w:pPr>
        <w:tabs>
          <w:tab w:val="left" w:pos="1843"/>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Yang memuat tujuan dan sasaran jangka menengah urusan Perdagangan, Koperasi dan Usaha Kecil dan Menengah    untuk   </w:t>
      </w:r>
      <w:r>
        <w:rPr>
          <w:rFonts w:ascii="Times New Roman" w:hAnsi="Times New Roman" w:eastAsia="Times New Roman" w:cs="Times New Roman"/>
          <w:sz w:val="24"/>
          <w:szCs w:val="20"/>
        </w:rPr>
        <w:t xml:space="preserve"> </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pencapaian   visi   dan   Misi </w:t>
      </w:r>
      <w:r>
        <w:rPr>
          <w:rFonts w:ascii="Times New Roman" w:hAnsi="Times New Roman" w:eastAsia="Times New Roman" w:cs="Times New Roman"/>
          <w:sz w:val="24"/>
          <w:szCs w:val="20"/>
        </w:rPr>
        <w:t xml:space="preserve">  </w:t>
      </w:r>
      <w:r>
        <w:rPr>
          <w:rFonts w:ascii="Bookman Old Style" w:hAnsi="Bookman Old Style" w:eastAsia="Times New Roman" w:cs="Tahoma"/>
          <w:color w:val="000000" w:themeColor="text1"/>
          <w:sz w:val="24"/>
          <w:szCs w:val="24"/>
          <w:lang w:eastAsia="id-ID"/>
          <w14:textFill>
            <w14:solidFill>
              <w14:schemeClr w14:val="tx1"/>
            </w14:solidFill>
          </w14:textFill>
        </w:rPr>
        <w:t>yang   telah ditetapkan RPJMD Kabupaten Kepulauan Selayar Tahun 2021-2026.</w:t>
      </w:r>
    </w:p>
    <w:p>
      <w:pPr>
        <w:tabs>
          <w:tab w:val="left" w:pos="1843"/>
          <w:tab w:val="left" w:pos="1985"/>
          <w:tab w:val="left" w:leader="dot" w:pos="8820"/>
          <w:tab w:val="right" w:pos="9214"/>
          <w:tab w:val="right" w:pos="9360"/>
        </w:tabs>
        <w:spacing w:after="0" w:line="276" w:lineRule="auto"/>
        <w:ind w:left="1843" w:hanging="113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V</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STRATEGI DAN ARAH KEBIJAKAN</w:t>
      </w:r>
    </w:p>
    <w:p>
      <w:pPr>
        <w:tabs>
          <w:tab w:val="left" w:pos="1843"/>
          <w:tab w:val="left" w:pos="1985"/>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Memuat strategi yang dipilih dalam mencapai tujuan dan sasaran serta arah kebijakan dari setiap strategi.</w:t>
      </w:r>
    </w:p>
    <w:p>
      <w:pPr>
        <w:tabs>
          <w:tab w:val="left" w:pos="1843"/>
          <w:tab w:val="left" w:pos="1985"/>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BAB VI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RENCANA PROGRAM DAN KEGIATAN SERTA PENDANAAN, </w:t>
      </w:r>
    </w:p>
    <w:p>
      <w:pPr>
        <w:tabs>
          <w:tab w:val="left" w:pos="1843"/>
          <w:tab w:val="left" w:pos="1985"/>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Memuat rencana program dan kegiatan yang dipilih beserta perencanaan pendanaan dari setiap program dan kegiatan, serta indikator kinerja dan kelompok sasaran.</w:t>
      </w:r>
    </w:p>
    <w:p>
      <w:pPr>
        <w:tabs>
          <w:tab w:val="left" w:pos="1134"/>
          <w:tab w:val="left" w:pos="1843"/>
          <w:tab w:val="left" w:pos="1985"/>
          <w:tab w:val="left" w:leader="dot" w:pos="8820"/>
          <w:tab w:val="right" w:pos="9214"/>
          <w:tab w:val="right" w:pos="9360"/>
        </w:tabs>
        <w:spacing w:after="0" w:line="276" w:lineRule="auto"/>
        <w:ind w:left="1843" w:hanging="113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VII</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KINERJA PENYELENGGARAAN BIDANG URUSAN </w:t>
      </w:r>
    </w:p>
    <w:p>
      <w:pPr>
        <w:tabs>
          <w:tab w:val="left" w:pos="1843"/>
          <w:tab w:val="left" w:pos="1985"/>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Memuat penetapan indikator kinerja DISDAG KUKM untuk memberikan gambaran ukuran keberhasilan pencapaian program kegiatan.</w:t>
      </w:r>
    </w:p>
    <w:p>
      <w:pPr>
        <w:tabs>
          <w:tab w:val="left" w:pos="900"/>
          <w:tab w:val="left" w:pos="1134"/>
          <w:tab w:val="left" w:pos="1843"/>
          <w:tab w:val="left" w:pos="1985"/>
          <w:tab w:val="left" w:leader="dot" w:pos="8820"/>
          <w:tab w:val="right" w:pos="9214"/>
          <w:tab w:val="right" w:pos="9360"/>
        </w:tabs>
        <w:spacing w:after="0" w:line="276" w:lineRule="auto"/>
        <w:ind w:left="1843" w:hanging="1134"/>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BAB. VIII</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PENUTUP </w:t>
      </w:r>
    </w:p>
    <w:p>
      <w:pPr>
        <w:tabs>
          <w:tab w:val="left" w:pos="1843"/>
          <w:tab w:val="left" w:pos="1985"/>
        </w:tabs>
        <w:autoSpaceDE w:val="0"/>
        <w:autoSpaceDN w:val="0"/>
        <w:adjustRightInd w:val="0"/>
        <w:spacing w:after="0" w:line="360" w:lineRule="auto"/>
        <w:ind w:left="1843" w:hanging="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Memuat penjabaran Renstra Perangkat Daerah lebih lanjut dalam bentuk Renja Perangkat Daerah, Kepala Perangkat Daerah sebagai penanggung jawab pelaksanaan Renstra Perangkat Daerah, Kepala Perangkat Daerah bersama BAPPELITBANGDA melakukan pemantauan dan evaluasi atas pelaksanaan Renstra Perangkat Daerah, serta keterlibatan stakeholder pembangunan dalam pelaksanaan Renstra Perangkat Daerah</w:t>
      </w: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843"/>
          <w:tab w:val="left" w:pos="1985"/>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BAB II </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GAMBARAN PELAYANAN </w:t>
      </w:r>
    </w:p>
    <w:p>
      <w:pPr>
        <w:spacing w:after="0" w:line="360" w:lineRule="auto"/>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DINAS </w:t>
      </w:r>
      <w:r>
        <w:rPr>
          <w:rFonts w:ascii="Bookman Old Style" w:hAnsi="Bookman Old Style" w:eastAsia="Times New Roman" w:cs="Tahoma"/>
          <w:b/>
          <w:bCs/>
          <w:color w:val="000000" w:themeColor="text1"/>
          <w:sz w:val="24"/>
          <w:szCs w:val="24"/>
          <w14:textFill>
            <w14:solidFill>
              <w14:schemeClr w14:val="tx1"/>
            </w14:solidFill>
          </w14:textFill>
        </w:rPr>
        <w:t>PERDAGANGAN, KOPERASI DAN USAHA KECIL DAN MENENGAH</w:t>
      </w:r>
    </w:p>
    <w:p>
      <w:pPr>
        <w:spacing w:after="0" w:line="360" w:lineRule="auto"/>
        <w:jc w:val="both"/>
        <w:rPr>
          <w:rFonts w:ascii="Bookman Old Style" w:hAnsi="Bookman Old Style" w:eastAsia="Times New Roman" w:cs="Tahoma"/>
          <w:color w:val="000000" w:themeColor="text1"/>
          <w:sz w:val="24"/>
          <w:szCs w:val="24"/>
          <w:lang w:val="fi-FI"/>
          <w14:textFill>
            <w14:solidFill>
              <w14:schemeClr w14:val="tx1"/>
            </w14:solidFill>
          </w14:textFill>
        </w:rPr>
      </w:pPr>
    </w:p>
    <w:p>
      <w:pPr>
        <w:numPr>
          <w:ilvl w:val="1"/>
          <w:numId w:val="8"/>
        </w:numPr>
        <w:tabs>
          <w:tab w:val="left" w:pos="851"/>
        </w:tabs>
        <w:spacing w:after="0" w:line="360" w:lineRule="auto"/>
        <w:ind w:left="709" w:hanging="709"/>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 xml:space="preserve">Tugas, Fungsi, dan Struktur Organisasi </w:t>
      </w:r>
      <w:r>
        <w:rPr>
          <w:rFonts w:ascii="Bookman Old Style" w:hAnsi="Bookman Old Style" w:eastAsia="Times New Roman" w:cs="Tahoma"/>
          <w:b/>
          <w:color w:val="000000" w:themeColor="text1"/>
          <w:sz w:val="24"/>
          <w:szCs w:val="24"/>
          <w14:textFill>
            <w14:solidFill>
              <w14:schemeClr w14:val="tx1"/>
            </w14:solidFill>
          </w14:textFill>
        </w:rPr>
        <w:t>Dinas Perdagangan, Koperasi dan Usaha Kecil dan Menengah</w:t>
      </w:r>
    </w:p>
    <w:p>
      <w:pPr>
        <w:tabs>
          <w:tab w:val="left" w:pos="85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Berdasarkan Peraturan Daerah Kabupaten Kepulauan Selayar             Nomor </w:t>
      </w:r>
      <w:r>
        <w:rPr>
          <w:rFonts w:ascii="Bookman Old Style" w:hAnsi="Bookman Old Style" w:eastAsia="Times New Roman" w:cs="Bookman Old Style"/>
          <w:spacing w:val="-2"/>
          <w:sz w:val="24"/>
          <w:szCs w:val="24"/>
        </w:rPr>
        <w:t>Nomor 4 Tahun 2022 tentang perubahan atas peraturan daerah Kabupaten Kepulauan Selayar ;</w:t>
      </w:r>
      <w:r>
        <w:rPr>
          <w:rFonts w:ascii="Bookman Old Style" w:hAnsi="Bookman Old Style" w:eastAsia="Times New Roman" w:cs="Tahoma"/>
          <w:color w:val="000000" w:themeColor="text1"/>
          <w:sz w:val="24"/>
          <w:szCs w:val="24"/>
          <w14:textFill>
            <w14:solidFill>
              <w14:schemeClr w14:val="tx1"/>
            </w14:solidFill>
          </w14:textFill>
        </w:rPr>
        <w:t xml:space="preserve"> dan penjabarannya dalam Peraturan Bupati Kepulauan Selayar Nomor </w:t>
      </w:r>
      <w:r>
        <w:rPr>
          <w:rFonts w:ascii="Bookman Old Style" w:hAnsi="Bookman Old Style" w:eastAsia="Times New Roman" w:cs="Bookman Old Style"/>
          <w:spacing w:val="-2"/>
          <w:sz w:val="24"/>
          <w:szCs w:val="24"/>
        </w:rPr>
        <w:t>Nomor 49 Tahun 2022 tentang Kedudukan, Susunan Organisasi, Tugas dan Fungsi, Serta Tata Kerja Dinas Perdagangan, Koperasi dan Usaha Kecil dan Menengah</w:t>
      </w:r>
      <w:r>
        <w:rPr>
          <w:rFonts w:ascii="Bookman Old Style" w:hAnsi="Bookman Old Style" w:eastAsia="Times New Roman" w:cs="Bookman Old Style"/>
          <w:color w:val="000000" w:themeColor="text1"/>
          <w:sz w:val="24"/>
          <w:szCs w:val="24"/>
          <w14:textFill>
            <w14:solidFill>
              <w14:schemeClr w14:val="tx1"/>
            </w14:solidFill>
          </w14:textFill>
        </w:rPr>
        <w:t>.</w:t>
      </w:r>
    </w:p>
    <w:p>
      <w:pPr>
        <w:tabs>
          <w:tab w:val="left" w:pos="85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Dinas Perdagangan, Koperasi dan Usaha Kecil Menengah dipimpin oleh Kepala Dinas yang berkedudukan dibawah dan bertanggung jawab kepada Bupati melalui Sekretaris Daerah, yang mempunyai tugas membantu Bupati dalam menyelenggarakan urusan pemerintahan bidang Perdagangan, Koperasi dan Usaha Kecil dan Menengah dan tugas pembantuan yang menjadi kewenangan daerah yang ditugaskan kepada Pemerintah Daerah.</w:t>
      </w:r>
    </w:p>
    <w:p>
      <w:pPr>
        <w:tabs>
          <w:tab w:val="left" w:pos="851"/>
        </w:tabs>
        <w:spacing w:after="0" w:line="360" w:lineRule="auto"/>
        <w:ind w:left="709"/>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Untuk melaksanakan tugas tersebut Dinas Perdagangan, Koperasi dan Usaha Kecil dan Menengah Kabupaten Kepulauan Selayar menyelenggarakan Fungsi :</w:t>
      </w:r>
    </w:p>
    <w:p>
      <w:pPr>
        <w:numPr>
          <w:ilvl w:val="0"/>
          <w:numId w:val="9"/>
        </w:numPr>
        <w:spacing w:after="0" w:line="360" w:lineRule="auto"/>
        <w:ind w:left="1134" w:hanging="425"/>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perumusan kebijakan bidang perdagangan, koperasi dan usaha kecil dan menengah;</w:t>
      </w:r>
    </w:p>
    <w:p>
      <w:pPr>
        <w:numPr>
          <w:ilvl w:val="0"/>
          <w:numId w:val="9"/>
        </w:numPr>
        <w:spacing w:after="0" w:line="360" w:lineRule="auto"/>
        <w:ind w:left="1134" w:hanging="425"/>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kebijakan bidang erdagangan, koperasi dan usaha kecil dan menengah;</w:t>
      </w:r>
    </w:p>
    <w:p>
      <w:pPr>
        <w:numPr>
          <w:ilvl w:val="0"/>
          <w:numId w:val="9"/>
        </w:numPr>
        <w:spacing w:after="0" w:line="360" w:lineRule="auto"/>
        <w:ind w:left="1134" w:hanging="425"/>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evaluasi dan pelaporan di bidang perdagangan, koperasi dan usaha kecil dan menengah;</w:t>
      </w:r>
    </w:p>
    <w:p>
      <w:pPr>
        <w:numPr>
          <w:ilvl w:val="0"/>
          <w:numId w:val="9"/>
        </w:numPr>
        <w:spacing w:after="0" w:line="360" w:lineRule="auto"/>
        <w:ind w:left="1134" w:hanging="425"/>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administrasi Dinas; dan</w:t>
      </w:r>
    </w:p>
    <w:p>
      <w:pPr>
        <w:numPr>
          <w:ilvl w:val="0"/>
          <w:numId w:val="9"/>
        </w:numPr>
        <w:spacing w:after="0" w:line="360" w:lineRule="auto"/>
        <w:ind w:left="1134" w:hanging="425"/>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fungsi lain yang diberikan oleh Bupati terkait tugas dan fungsinya</w:t>
      </w:r>
    </w:p>
    <w:p>
      <w:pPr>
        <w:spacing w:after="0" w:line="360" w:lineRule="auto"/>
        <w:ind w:left="709" w:firstLine="992"/>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Tugas, fungsi dan uraian tugas Dinas Perdagangan, Koperasi dan Usaha Kecil dan Menengah adalah sebagai berikut :</w:t>
      </w:r>
      <w:r>
        <w:rPr>
          <w:rFonts w:ascii="Bookman Old Style" w:hAnsi="Bookman Old Style" w:eastAsia="Times New Roman" w:cs="Tahoma"/>
          <w:color w:val="000000" w:themeColor="text1"/>
          <w:sz w:val="24"/>
          <w:szCs w:val="24"/>
          <w14:textFill>
            <w14:solidFill>
              <w14:schemeClr w14:val="tx1"/>
            </w14:solidFill>
          </w14:textFill>
        </w:rPr>
        <w:tab/>
      </w:r>
    </w:p>
    <w:p>
      <w:pPr>
        <w:spacing w:after="0" w:line="360" w:lineRule="auto"/>
        <w:ind w:left="709" w:firstLine="992"/>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2"/>
          <w:numId w:val="8"/>
        </w:numPr>
        <w:tabs>
          <w:tab w:val="left" w:pos="1560"/>
        </w:tabs>
        <w:spacing w:after="0" w:line="360" w:lineRule="auto"/>
        <w:ind w:left="1134" w:hanging="425"/>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Kepala Dinas</w:t>
      </w:r>
    </w:p>
    <w:p>
      <w:pPr>
        <w:tabs>
          <w:tab w:val="left" w:pos="1701"/>
        </w:tabs>
        <w:spacing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Kepala Dinas mempunyai tugas membantu Bupati dalam menyelenggarakan urusan pemerintahan bidang perdagangan, koperasi dan usaha kecil dan menengah yang menjadi kewenangan daerah dan tugas pembantuan yang ditugaskan kepada Pemerintah Daerah</w:t>
      </w:r>
    </w:p>
    <w:p>
      <w:pPr>
        <w:tabs>
          <w:tab w:val="left" w:pos="1701"/>
        </w:tabs>
        <w:spacing w:after="0" w:line="360" w:lineRule="auto"/>
        <w:ind w:left="2127" w:hanging="56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Fungsi:</w:t>
      </w:r>
    </w:p>
    <w:p>
      <w:pPr>
        <w:numPr>
          <w:ilvl w:val="0"/>
          <w:numId w:val="10"/>
        </w:numPr>
        <w:tabs>
          <w:tab w:val="left" w:pos="1701"/>
        </w:tabs>
        <w:spacing w:after="0" w:line="360" w:lineRule="auto"/>
        <w:ind w:left="1985" w:hanging="425"/>
        <w:contextualSpacing/>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perumusan kebijakan bidang perdagangan, koperasi dan usaha kecil dan menengah;</w:t>
      </w:r>
    </w:p>
    <w:p>
      <w:pPr>
        <w:numPr>
          <w:ilvl w:val="0"/>
          <w:numId w:val="10"/>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kebijakan bidang perdagangan, koperasi dan usaha kecil dan menengah;</w:t>
      </w:r>
    </w:p>
    <w:p>
      <w:pPr>
        <w:numPr>
          <w:ilvl w:val="0"/>
          <w:numId w:val="10"/>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evaluasi dan pelaporan di bidang perdagangan, koperasi dan usaha kecil dan menengah;</w:t>
      </w:r>
    </w:p>
    <w:p>
      <w:pPr>
        <w:numPr>
          <w:ilvl w:val="0"/>
          <w:numId w:val="10"/>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administrasi Dinas; dan</w:t>
      </w:r>
    </w:p>
    <w:p>
      <w:pPr>
        <w:numPr>
          <w:ilvl w:val="0"/>
          <w:numId w:val="10"/>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fungsi lain yang diberikan oleh Bupati terkait tugas dan fungsinya.</w:t>
      </w:r>
    </w:p>
    <w:p>
      <w:pPr>
        <w:tabs>
          <w:tab w:val="left" w:pos="1701"/>
        </w:tabs>
        <w:spacing w:after="0" w:line="360" w:lineRule="auto"/>
        <w:ind w:left="15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Uraian tugas Kepala Dinas, meliputi :</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kerja Dinas sebagai pedoman Pelaksana tugas:</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untuk mengetahui perkembangan pelaksanaan tugas;</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dengan bidang tugasnya;</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menyelenggarakan evaluasi dan pelaporan urusan pemerintahan bidang perdagangan, koperasi dan usaha kecil dan menengah;</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Bookman Old Style" w:cs="Tahoma"/>
          <w:color w:val="000000" w:themeColor="text1"/>
          <w:sz w:val="24"/>
          <w:szCs w:val="24"/>
          <w14:textFill>
            <w14:solidFill>
              <w14:schemeClr w14:val="tx1"/>
            </w14:solidFill>
          </w14:textFill>
        </w:rPr>
        <w:t xml:space="preserve">menyelenggarakan kebijakan sesuai dengan lingkup tugasnya; </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Bookman Old Style" w:cs="Tahoma"/>
          <w:color w:val="000000" w:themeColor="text1"/>
          <w:sz w:val="24"/>
          <w:szCs w:val="24"/>
          <w14:textFill>
            <w14:solidFill>
              <w14:schemeClr w14:val="tx1"/>
            </w14:solidFill>
          </w14:textFill>
        </w:rPr>
        <w:t xml:space="preserve">menyelenggarakan evaluasi dan pelaporan sesuai dengan lingkup tugasnya; </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Bookman Old Style" w:cs="Tahoma"/>
          <w:color w:val="000000" w:themeColor="text1"/>
          <w:sz w:val="24"/>
          <w:szCs w:val="24"/>
          <w14:textFill>
            <w14:solidFill>
              <w14:schemeClr w14:val="tx1"/>
            </w14:solidFill>
          </w14:textFill>
        </w:rPr>
        <w:t xml:space="preserve">menyelenggarakan administrasi Dinas sesuai dengan lingkup tugasnya; </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mengoordinasikan dan menyelenggarakan pemantauan, pengendalian, dan evaluasi kebijakan teknis bidang perdagangan, koperasi dan usaha kecil dan menengah;</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menyelenggarakan koordinasi dan konsultasi dengan lembaga pemerintah dan lembaga non pemrintah dalam rangka pelaksanaan tugas dan fungsi;</w:t>
      </w:r>
    </w:p>
    <w:p>
      <w:pPr>
        <w:numPr>
          <w:ilvl w:val="0"/>
          <w:numId w:val="11"/>
        </w:numPr>
        <w:tabs>
          <w:tab w:val="left" w:pos="1985"/>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11"/>
        </w:numPr>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hasil pelaksanaan tugas Kepala Dinas dan memberi saran pertimbangan kepada atasan sebagai bahan perumusan kebijakan; dan</w:t>
      </w:r>
    </w:p>
    <w:p>
      <w:pPr>
        <w:numPr>
          <w:ilvl w:val="0"/>
          <w:numId w:val="11"/>
        </w:numPr>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menyelenggarakan tugas kedinasan lain yang diperintahkan atasan sesuai dengan bidang tugasnya.</w:t>
      </w:r>
    </w:p>
    <w:p>
      <w:pPr>
        <w:numPr>
          <w:ilvl w:val="2"/>
          <w:numId w:val="8"/>
        </w:numPr>
        <w:tabs>
          <w:tab w:val="left" w:pos="1134"/>
          <w:tab w:val="left" w:pos="1560"/>
        </w:tabs>
        <w:spacing w:after="0" w:line="360" w:lineRule="auto"/>
        <w:ind w:left="1134" w:hanging="425"/>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Sekretaris</w:t>
      </w:r>
    </w:p>
    <w:p>
      <w:pPr>
        <w:tabs>
          <w:tab w:val="left" w:pos="1701"/>
        </w:tabs>
        <w:spacing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 xml:space="preserve">Sekretariat dipimpin oleh Sekretaris yang mempunyai tugas membantu Kepala Dinas dalam </w:t>
      </w:r>
      <w:r>
        <w:rPr>
          <w:rFonts w:ascii="Bookman Old Style" w:hAnsi="Bookman Old Style" w:eastAsia="Times New Roman" w:cs="Tahoma"/>
          <w:color w:val="000000" w:themeColor="text1"/>
          <w:sz w:val="24"/>
          <w:szCs w:val="24"/>
          <w14:textFill>
            <w14:solidFill>
              <w14:schemeClr w14:val="tx1"/>
            </w14:solidFill>
          </w14:textFill>
        </w:rPr>
        <w:t>melaksanakan fungsi kesekretariatan, mengoordinasikan pelaksanaan kegiatan administrasi umum, perencanaan program dan anggaran serta teknis ketatausahaan</w:t>
      </w:r>
      <w:r>
        <w:rPr>
          <w:rFonts w:ascii="Bookman Old Style" w:hAnsi="Bookman Old Style" w:eastAsia="Calibri" w:cs="Tahoma"/>
          <w:color w:val="000000" w:themeColor="text1"/>
          <w:sz w:val="24"/>
          <w:szCs w:val="24"/>
          <w14:textFill>
            <w14:solidFill>
              <w14:schemeClr w14:val="tx1"/>
            </w14:solidFill>
          </w14:textFill>
        </w:rPr>
        <w:t xml:space="preserve"> kepada semua unsur dalam lingkup </w:t>
      </w:r>
      <w:r>
        <w:rPr>
          <w:rFonts w:ascii="Bookman Old Style" w:hAnsi="Bookman Old Style" w:eastAsia="Times New Roman" w:cs="Tahoma"/>
          <w:color w:val="000000" w:themeColor="text1"/>
          <w:sz w:val="24"/>
          <w:szCs w:val="24"/>
          <w14:textFill>
            <w14:solidFill>
              <w14:schemeClr w14:val="tx1"/>
            </w14:solidFill>
          </w14:textFill>
        </w:rPr>
        <w:t>Dinas.</w:t>
      </w:r>
    </w:p>
    <w:p>
      <w:pPr>
        <w:tabs>
          <w:tab w:val="left" w:pos="1701"/>
        </w:tabs>
        <w:spacing w:after="0" w:line="360" w:lineRule="auto"/>
        <w:ind w:left="1560"/>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Fungsi :</w:t>
      </w:r>
    </w:p>
    <w:p>
      <w:pPr>
        <w:numPr>
          <w:ilvl w:val="1"/>
          <w:numId w:val="12"/>
        </w:numPr>
        <w:tabs>
          <w:tab w:val="left" w:pos="1701"/>
        </w:tabs>
        <w:spacing w:after="0" w:line="360" w:lineRule="auto"/>
        <w:ind w:left="1985" w:hanging="448"/>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pengoordinasian pelaksanaan tugas dalam lingkungan</w:t>
      </w:r>
      <w:r>
        <w:rPr>
          <w:rFonts w:ascii="Bookman Old Style" w:hAnsi="Bookman Old Style" w:eastAsia="Times New Roman" w:cs="Tahoma"/>
          <w:color w:val="000000" w:themeColor="text1"/>
          <w:spacing w:val="-15"/>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Dinas;</w:t>
      </w:r>
    </w:p>
    <w:p>
      <w:pPr>
        <w:numPr>
          <w:ilvl w:val="1"/>
          <w:numId w:val="12"/>
        </w:numPr>
        <w:tabs>
          <w:tab w:val="left" w:pos="1701"/>
        </w:tabs>
        <w:spacing w:after="0" w:line="360" w:lineRule="auto"/>
        <w:ind w:left="1985" w:hanging="448"/>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pengoordinasian penyusunan program, pelaporan dan</w:t>
      </w:r>
      <w:r>
        <w:rPr>
          <w:rFonts w:ascii="Bookman Old Style" w:hAnsi="Bookman Old Style" w:eastAsia="Times New Roman" w:cs="Tahoma"/>
          <w:color w:val="000000" w:themeColor="text1"/>
          <w:spacing w:val="-9"/>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hukum;</w:t>
      </w:r>
    </w:p>
    <w:p>
      <w:pPr>
        <w:numPr>
          <w:ilvl w:val="1"/>
          <w:numId w:val="12"/>
        </w:numPr>
        <w:tabs>
          <w:tab w:val="left" w:pos="1701"/>
        </w:tabs>
        <w:spacing w:after="0" w:line="360" w:lineRule="auto"/>
        <w:ind w:left="1985" w:hanging="448"/>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pengoordinasian urusan umum dan</w:t>
      </w:r>
      <w:r>
        <w:rPr>
          <w:rFonts w:ascii="Bookman Old Style" w:hAnsi="Bookman Old Style" w:eastAsia="Times New Roman" w:cs="Tahoma"/>
          <w:color w:val="000000" w:themeColor="text1"/>
          <w:spacing w:val="-13"/>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kepegawaian;</w:t>
      </w:r>
    </w:p>
    <w:p>
      <w:pPr>
        <w:numPr>
          <w:ilvl w:val="1"/>
          <w:numId w:val="12"/>
        </w:numPr>
        <w:tabs>
          <w:tab w:val="left" w:pos="1701"/>
        </w:tabs>
        <w:spacing w:after="0" w:line="360" w:lineRule="auto"/>
        <w:ind w:left="1985" w:hanging="448"/>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pengoordinasian pengelolaan administrasi keuangan;</w:t>
      </w:r>
      <w:r>
        <w:rPr>
          <w:rFonts w:ascii="Bookman Old Style" w:hAnsi="Bookman Old Style" w:eastAsia="Times New Roman" w:cs="Tahoma"/>
          <w:color w:val="000000" w:themeColor="text1"/>
          <w:spacing w:val="-7"/>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dan</w:t>
      </w:r>
    </w:p>
    <w:p>
      <w:pPr>
        <w:numPr>
          <w:ilvl w:val="1"/>
          <w:numId w:val="12"/>
        </w:numPr>
        <w:tabs>
          <w:tab w:val="left" w:pos="1701"/>
        </w:tabs>
        <w:spacing w:after="0" w:line="360" w:lineRule="auto"/>
        <w:ind w:left="1985" w:hanging="448"/>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fungsi lain sesuai bidang</w:t>
      </w:r>
      <w:r>
        <w:rPr>
          <w:rFonts w:ascii="Bookman Old Style" w:hAnsi="Bookman Old Style" w:eastAsia="Times New Roman" w:cs="Tahoma"/>
          <w:color w:val="000000" w:themeColor="text1"/>
          <w:spacing w:val="-12"/>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tugasnya.</w:t>
      </w:r>
    </w:p>
    <w:p>
      <w:pPr>
        <w:tabs>
          <w:tab w:val="left" w:pos="1701"/>
        </w:tabs>
        <w:spacing w:after="0" w:line="360" w:lineRule="auto"/>
        <w:ind w:left="1560"/>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Uraian Tugas Sekeretaris, meliputi :</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Sekretaris sebagai pedoman dalam pelaksanaan tugas;</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Sekretariat untuk mengetahui perkembangan pelaksanaan tugas;</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dengan bidang tugasnya;</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melaksanakan penyusunan perencanaan, pemantauan, evaluasi, data, pelaporan, program, dan anggaran pengembangan sumber daya manusia aparatur kabupaten;</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melaksanakan pengelolaan verifikasi keuangan, pelaksanaan perbendaharaan, serta urusan akuntansi dan pelaporan keuangan;</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melaksanakan pengelolaan ketatausahaan, rumah tangga, keamanan dan kebersihan, perlengkapan, pengelolaan aset, dan dokumentasi;</w:t>
      </w:r>
    </w:p>
    <w:p>
      <w:pPr>
        <w:numPr>
          <w:ilvl w:val="0"/>
          <w:numId w:val="13"/>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melaksanakan pengelolaan administrasi kepegawaian, pembinaan jabatan fungsional, serta evaluasi kinerja aparatur sipil negara lingkup Dinas;</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 xml:space="preserve">melaksanakan penyusunan dan penetapan peraturan perundang-undangan bidang </w:t>
      </w:r>
      <w:r>
        <w:rPr>
          <w:rFonts w:ascii="Bookman Old Style" w:hAnsi="Bookman Old Style" w:eastAsia="Times New Roman" w:cs="Tahoma"/>
          <w:color w:val="000000" w:themeColor="text1"/>
          <w:sz w:val="24"/>
          <w:szCs w:val="24"/>
          <w14:textFill>
            <w14:solidFill>
              <w14:schemeClr w14:val="tx1"/>
            </w14:solidFill>
          </w14:textFill>
        </w:rPr>
        <w:t>perdagangan, koperasi dan usaha kecil dan menengah</w:t>
      </w:r>
      <w:r>
        <w:rPr>
          <w:rFonts w:ascii="Bookman Old Style" w:hAnsi="Bookman Old Style" w:eastAsia="Calibri" w:cs="Tahoma"/>
          <w:color w:val="000000" w:themeColor="text1"/>
          <w:sz w:val="24"/>
          <w:szCs w:val="24"/>
          <w14:textFill>
            <w14:solidFill>
              <w14:schemeClr w14:val="tx1"/>
            </w14:solidFill>
          </w14:textFill>
        </w:rPr>
        <w:t>;</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melakasanakan penyelenggaraan peningkatan disiplin dan kapasitas sumber daya aparatur;</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mengoordinasikan dan melaksanakan penyusunan produk hukum yang dilaksanakan oleh masing-masing bidang dalam lingkup Dinas;</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koordinasi dan konsultasi dengan lembaga pemerintah dan lembaga non pemerintah dalam rangka pelaksanaan tugas dan fungsi;</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hasil pelaksanaan tugas Sekretaris dan memberikan saran pertimbangan kepada pimpinan sebagai bahan perumusan kebijakan; dan</w:t>
      </w:r>
    </w:p>
    <w:p>
      <w:pPr>
        <w:numPr>
          <w:ilvl w:val="0"/>
          <w:numId w:val="13"/>
        </w:numPr>
        <w:tabs>
          <w:tab w:val="left" w:pos="1701"/>
        </w:tabs>
        <w:spacing w:after="0" w:line="360" w:lineRule="auto"/>
        <w:ind w:left="1985"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tugas kedinasan lain yang diperintahkan atasan sesuai dengan bidang tugasnya.</w:t>
      </w:r>
    </w:p>
    <w:p>
      <w:pPr>
        <w:tabs>
          <w:tab w:val="left" w:pos="1701"/>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3"/>
          <w:numId w:val="8"/>
        </w:numPr>
        <w:spacing w:after="0" w:line="360" w:lineRule="auto"/>
        <w:ind w:left="2552" w:hanging="99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Subbagian Program</w:t>
      </w:r>
    </w:p>
    <w:p>
      <w:pPr>
        <w:spacing w:after="0" w:line="360" w:lineRule="auto"/>
        <w:ind w:left="2552"/>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Subbagian Program dipimpin oleh Kepala Subbagian yang mempunyai tugas membantu Sekretaris melakukan urusan penyusunan program dan anggaran, pengelolaan data dan informasi, pelaksanaan monitoring dan evaluasi, serta penyusunan laporan kinerja.</w:t>
      </w:r>
    </w:p>
    <w:p>
      <w:pPr>
        <w:tabs>
          <w:tab w:val="left" w:pos="1701"/>
        </w:tabs>
        <w:spacing w:after="0" w:line="360" w:lineRule="auto"/>
        <w:ind w:left="2977" w:hanging="425"/>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b/>
          <w:color w:val="000000" w:themeColor="text1"/>
          <w:sz w:val="24"/>
          <w:szCs w:val="24"/>
          <w14:textFill>
            <w14:solidFill>
              <w14:schemeClr w14:val="tx1"/>
            </w14:solidFill>
          </w14:textFill>
        </w:rPr>
        <w:t>Uraian tugas, meliputi :</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S</w:t>
      </w:r>
      <w:r>
        <w:rPr>
          <w:rFonts w:ascii="Bookman Old Style" w:hAnsi="Bookman Old Style" w:eastAsia="Calibri" w:cs="Tahoma"/>
          <w:color w:val="000000" w:themeColor="text1"/>
          <w:sz w:val="24"/>
          <w:szCs w:val="24"/>
          <w14:textFill>
            <w14:solidFill>
              <w14:schemeClr w14:val="tx1"/>
            </w14:solidFill>
          </w14:textFill>
        </w:rPr>
        <w:t xml:space="preserve">ubbagian Program </w:t>
      </w:r>
      <w:r>
        <w:rPr>
          <w:rFonts w:ascii="Bookman Old Style" w:hAnsi="Bookman Old Style" w:eastAsia="Times New Roman" w:cs="Tahoma"/>
          <w:color w:val="000000" w:themeColor="text1"/>
          <w:sz w:val="24"/>
          <w:szCs w:val="24"/>
          <w14:textFill>
            <w14:solidFill>
              <w14:schemeClr w14:val="tx1"/>
            </w14:solidFill>
          </w14:textFill>
        </w:rPr>
        <w:t>sebagai pedoman dalam pelaksanaan tugas;</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subbagian program untuk mengetahui perkembangan pelaksanaan tigas;</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dengan bidang tugasnya;</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menyiapkan bahan penyusunan program dan kegiatan perangkat daerah;</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memfasilitasi penyusunan Renstra dan Rencana Kerja perangkat Daerah;</w:t>
      </w:r>
    </w:p>
    <w:p>
      <w:pPr>
        <w:numPr>
          <w:ilvl w:val="0"/>
          <w:numId w:val="14"/>
        </w:numPr>
        <w:tabs>
          <w:tab w:val="left" w:pos="1418"/>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menyusun program dan kegiatan perangkat daerah dalam dokumen perencanaan;</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menyusun dokumen evaluasi perangkat daerah;</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melaksanakan koordinasi dan sinkronisasi perencanaan perangkat daerah;</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evaluasi kinerja perangkat daerah;</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 xml:space="preserve">memfasilitasi penjaringan inovasi daerah di bidang </w:t>
      </w:r>
      <w:r>
        <w:rPr>
          <w:rFonts w:ascii="Bookman Old Style" w:hAnsi="Bookman Old Style" w:eastAsia="Times New Roman" w:cs="Tahoma"/>
          <w:color w:val="000000" w:themeColor="text1"/>
          <w:sz w:val="24"/>
          <w:szCs w:val="24"/>
          <w:lang w:val="sv-SE"/>
          <w14:textFill>
            <w14:solidFill>
              <w14:schemeClr w14:val="tx1"/>
            </w14:solidFill>
          </w14:textFill>
        </w:rPr>
        <w:t>kepegawaian dan pengembangan sumber daya manusia</w:t>
      </w:r>
      <w:r>
        <w:rPr>
          <w:rFonts w:ascii="Bookman Old Style" w:hAnsi="Bookman Old Style" w:eastAsia="Calibri" w:cs="Tahoma"/>
          <w:color w:val="000000" w:themeColor="text1"/>
          <w:sz w:val="24"/>
          <w:szCs w:val="24"/>
          <w14:textFill>
            <w14:solidFill>
              <w14:schemeClr w14:val="tx1"/>
            </w14:solidFill>
          </w14:textFill>
        </w:rPr>
        <w:t>;</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mengoordinasikan pelaksanaan penilaian mandiri reformasi birokrasi Dinas;</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menyiapkan bahan pelaksanaan verifikasi dokumen perencanaan anggaran;</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Mengoordinasikan dan melakukan pemantauan, pengendalian dan evaluasi kebijakan teknis layanan informasi publik;</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koordinasi dan konsultasi dengan lembaga pemerintah dan lembaga non pemerintah dalam rangka pelaksanaan tugas dan fungsi;</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aparatur sipil negara sesuai ketentuan peraturan perundang-undangan;</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pelaksanaan tugas Subbagian program dan memberi saran pertimbangan kepada pimpinan sebagai bahan perumusan kebijakan;</w:t>
      </w:r>
    </w:p>
    <w:p>
      <w:pPr>
        <w:numPr>
          <w:ilvl w:val="0"/>
          <w:numId w:val="14"/>
        </w:numPr>
        <w:tabs>
          <w:tab w:val="clear" w:pos="720"/>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tugas kedinasan lain yang diperintahkan atasan sesuai dengan bidang tugasnya;</w:t>
      </w:r>
    </w:p>
    <w:p>
      <w:pPr>
        <w:tabs>
          <w:tab w:val="left" w:pos="720"/>
        </w:tabs>
        <w:spacing w:after="0" w:line="360" w:lineRule="auto"/>
        <w:ind w:left="297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3"/>
          <w:numId w:val="8"/>
        </w:numPr>
        <w:tabs>
          <w:tab w:val="left" w:pos="1701"/>
        </w:tabs>
        <w:spacing w:after="0" w:line="360" w:lineRule="auto"/>
        <w:ind w:left="2552" w:hanging="99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Subbagian Umum, Kepegawaian dan Hukum</w:t>
      </w:r>
    </w:p>
    <w:p>
      <w:pPr>
        <w:tabs>
          <w:tab w:val="left" w:pos="1418"/>
        </w:tabs>
        <w:spacing w:after="0" w:line="360" w:lineRule="auto"/>
        <w:ind w:left="2552"/>
        <w:jc w:val="both"/>
        <w:rPr>
          <w:rFonts w:ascii="Bookman Old Style" w:hAnsi="Bookman Old Style" w:eastAsia="Calibri"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Subbagian Umum, Kepegawaian dan Hukum dipimpin oleh Kepala Subbagian yang mempunyai tugas membantu Sekretaris melaksanakan urusan persuratan, kearsipan, perlengkapan dan rumah tangga, aset serta pengelolaan kepegawaian pengelolaan perundang-undangan</w:t>
      </w:r>
    </w:p>
    <w:p>
      <w:pPr>
        <w:tabs>
          <w:tab w:val="left" w:pos="1418"/>
        </w:tabs>
        <w:spacing w:after="0" w:line="360" w:lineRule="auto"/>
        <w:ind w:left="2552"/>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b/>
          <w:color w:val="000000" w:themeColor="text1"/>
          <w:sz w:val="24"/>
          <w:szCs w:val="24"/>
          <w14:textFill>
            <w14:solidFill>
              <w14:schemeClr w14:val="tx1"/>
            </w14:solidFill>
          </w14:textFill>
        </w:rPr>
        <w:t>Uraian Tugas :</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S</w:t>
      </w:r>
      <w:r>
        <w:rPr>
          <w:rFonts w:ascii="Bookman Old Style" w:hAnsi="Bookman Old Style" w:eastAsia="Calibri" w:cs="Tahoma"/>
          <w:color w:val="000000" w:themeColor="text1"/>
          <w:sz w:val="24"/>
          <w:szCs w:val="24"/>
          <w14:textFill>
            <w14:solidFill>
              <w14:schemeClr w14:val="tx1"/>
            </w14:solidFill>
          </w14:textFill>
        </w:rPr>
        <w:t xml:space="preserve">ubbagian Umum, Kepegawaian dan Hukum </w:t>
      </w:r>
      <w:r>
        <w:rPr>
          <w:rFonts w:ascii="Bookman Old Style" w:hAnsi="Bookman Old Style" w:eastAsia="Times New Roman" w:cs="Tahoma"/>
          <w:color w:val="000000" w:themeColor="text1"/>
          <w:sz w:val="24"/>
          <w:szCs w:val="24"/>
          <w14:textFill>
            <w14:solidFill>
              <w14:schemeClr w14:val="tx1"/>
            </w14:solidFill>
          </w14:textFill>
        </w:rPr>
        <w:t>sebagai pedoman dalam pelaksanaan tugas;</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Subbagian umum, kepegawaian dan Hukum untuk mengetahui perkembangan pelaksanaan tugas;</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dengan bidang tugasnya;</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pengelolaan administrasi kepegawaian;</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urusan surat menyurat dan tata naskah dinas;</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pengelolaan aset, perlengkapan, dan rumah tangga;</w:t>
      </w:r>
    </w:p>
    <w:p>
      <w:pPr>
        <w:numPr>
          <w:ilvl w:val="0"/>
          <w:numId w:val="15"/>
        </w:numPr>
        <w:tabs>
          <w:tab w:val="left" w:pos="1418"/>
        </w:tabs>
        <w:spacing w:after="0" w:line="360" w:lineRule="auto"/>
        <w:ind w:left="2977"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mengoordinir pelaksanaan pemeliharaan kebersihan dan keamanan lingkungan kantor;</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pengelolaan administrasi perkantoran;</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pengelolaan informasi dan dokumentasi pelaksanaan program dan kegiatan;</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kearsipan dan ekspedisi;</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peningkatan kapasitas sumber daya aparatur melalui program pendidikan, pelatihan, fasilitasi, asistensi, bimbingan teknis, workshop dan/atau seminar bekerja sama dengan unit kerja yang membidangi pengembangan kompetensi;</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kebijakan pimpinan terkait penegakan disiplin pegawai lingkup Dinas;</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analisa beban kerja dan analisa jabatan lingkup Dinas;</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memfasilitasi penyusunan dan penetapan peraturan perundang-undangan bidang perdagangan, koperasi, usaha kecil dan menengah;</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memfasilitasi pelaksanaan sosialisasi peraturan perundang-undangan bidang bidang perdagangan, koperasi, usaha kecil dan menengah;</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pengarsipan dokumen peraturan perundang-undangan bidang bidang perdagangan, koperasi, usaha kecil dan menengah;</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koordinasi dan konsultasi dengan lembaga emerintah dan lembaga non pemerintah dalam rangka pelaksanaan tugas dan fungsi;</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pelaksanaan tugas Kepala Subbagian umum, kepegawaian dan Hukum dan memberi saran pertimbangan kepada pimpinan sebagai bahan perumusan kebijakan;dan</w:t>
      </w:r>
    </w:p>
    <w:p>
      <w:pPr>
        <w:numPr>
          <w:ilvl w:val="0"/>
          <w:numId w:val="15"/>
        </w:numPr>
        <w:spacing w:after="0" w:line="360" w:lineRule="auto"/>
        <w:ind w:left="2977" w:hanging="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tugas kedinasan lain yang diperintahkan atasan sesuai dengan bidang tugasnya.</w:t>
      </w:r>
    </w:p>
    <w:p>
      <w:pPr>
        <w:spacing w:after="0" w:line="360" w:lineRule="auto"/>
        <w:ind w:left="297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3"/>
          <w:numId w:val="8"/>
        </w:numPr>
        <w:tabs>
          <w:tab w:val="left" w:pos="1701"/>
        </w:tabs>
        <w:spacing w:after="0" w:line="360" w:lineRule="auto"/>
        <w:ind w:left="2410" w:hanging="99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Subbagian Keuangan</w:t>
      </w:r>
    </w:p>
    <w:p>
      <w:pPr>
        <w:tabs>
          <w:tab w:val="left" w:pos="1701"/>
        </w:tabs>
        <w:spacing w:after="0" w:line="360" w:lineRule="auto"/>
        <w:ind w:left="241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Subbagian Keuangan dipimpin oleh Kepala Subbagian yang mempunyai tugas membantu Sekretaris melaksanakan urusan pengelolaan keuangan, penatausahaan keuangan, akuntansi, verifikasi, dan pembukuan.</w:t>
      </w:r>
    </w:p>
    <w:p>
      <w:pPr>
        <w:tabs>
          <w:tab w:val="left" w:pos="1418"/>
        </w:tabs>
        <w:spacing w:after="0" w:line="360" w:lineRule="auto"/>
        <w:ind w:left="2694" w:hanging="28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b/>
          <w:color w:val="000000" w:themeColor="text1"/>
          <w:sz w:val="24"/>
          <w:szCs w:val="24"/>
          <w14:textFill>
            <w14:solidFill>
              <w14:schemeClr w14:val="tx1"/>
            </w14:solidFill>
          </w14:textFill>
        </w:rPr>
        <w:t>Uraian tugas, meliputi :</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S</w:t>
      </w:r>
      <w:r>
        <w:rPr>
          <w:rFonts w:ascii="Bookman Old Style" w:hAnsi="Bookman Old Style" w:eastAsia="Calibri" w:cs="Tahoma"/>
          <w:color w:val="000000" w:themeColor="text1"/>
          <w:sz w:val="24"/>
          <w:szCs w:val="24"/>
          <w14:textFill>
            <w14:solidFill>
              <w14:schemeClr w14:val="tx1"/>
            </w14:solidFill>
          </w14:textFill>
        </w:rPr>
        <w:t xml:space="preserve">ubbagian Keuangan </w:t>
      </w:r>
      <w:r>
        <w:rPr>
          <w:rFonts w:ascii="Bookman Old Style" w:hAnsi="Bookman Old Style" w:eastAsia="Times New Roman" w:cs="Tahoma"/>
          <w:color w:val="000000" w:themeColor="text1"/>
          <w:sz w:val="24"/>
          <w:szCs w:val="24"/>
          <w14:textFill>
            <w14:solidFill>
              <w14:schemeClr w14:val="tx1"/>
            </w14:solidFill>
          </w14:textFill>
        </w:rPr>
        <w:t>sebagai pedoman dalam pelaksanaan tugas;</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dan mengevaluasi pelaksanaan tugas dalam lingkungan Subbangian Keuangan untuk mengetahui  perkembangan pelaksanaan tugas;</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mengikuti rapat sesuai dengan bidang tugasnya; </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memfasilitasi penyediaan gaji dan tunjangan aparatur sipil Negara;</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menyiapkan bahan pelaksanaan verifikasi dokumen perencanaan keuangan;</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melakukan penyusunan akuntansi dan pelaporan keuangan;</w:t>
      </w:r>
    </w:p>
    <w:p>
      <w:pPr>
        <w:numPr>
          <w:ilvl w:val="0"/>
          <w:numId w:val="16"/>
        </w:numPr>
        <w:spacing w:after="0" w:line="360" w:lineRule="auto"/>
        <w:ind w:left="26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melakukan pengelolaan dan penyiapan Bahan Tanggap Pemeriksaan;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capaian kinerja dan ikhtisar realisasi kinerja Dinas;</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menyusun laporan keuangan bulanan/semesteran;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 xml:space="preserve">menyusun laporan </w:t>
      </w:r>
      <w:r>
        <w:rPr>
          <w:rFonts w:ascii="Bookman Old Style" w:hAnsi="Bookman Old Style" w:eastAsia="Calibri" w:cs="Tahoma"/>
          <w:i/>
          <w:color w:val="000000" w:themeColor="text1"/>
          <w:sz w:val="24"/>
          <w:szCs w:val="24"/>
          <w14:textFill>
            <w14:solidFill>
              <w14:schemeClr w14:val="tx1"/>
            </w14:solidFill>
          </w14:textFill>
        </w:rPr>
        <w:t>Prognosis</w:t>
      </w:r>
      <w:r>
        <w:rPr>
          <w:rFonts w:ascii="Bookman Old Style" w:hAnsi="Bookman Old Style" w:eastAsia="Calibri" w:cs="Tahoma"/>
          <w:color w:val="000000" w:themeColor="text1"/>
          <w:sz w:val="24"/>
          <w:szCs w:val="24"/>
          <w14:textFill>
            <w14:solidFill>
              <w14:schemeClr w14:val="tx1"/>
            </w14:solidFill>
          </w14:textFill>
        </w:rPr>
        <w:t xml:space="preserve"> Realisasi Anggaran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menyusun laporan keuangan akhir tahun;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 w:val="24"/>
          <w:szCs w:val="24"/>
          <w14:textFill>
            <w14:solidFill>
              <w14:schemeClr w14:val="tx1"/>
            </w14:solidFill>
          </w14:textFill>
        </w:rPr>
        <w:t xml:space="preserve">melakukan koordinasi dan konsultasi dengan lembaga pemerintah dan lembaga non pemerintah dalam rangka pelaksanaan tugas dan fungsi; </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pelaksanaan tugas Kepala Subbagian keuangan dan memberi saran pertimbangan kepada piminan sebagai bahan perumusan kebijakan</w:t>
      </w:r>
    </w:p>
    <w:p>
      <w:pPr>
        <w:numPr>
          <w:ilvl w:val="0"/>
          <w:numId w:val="16"/>
        </w:numPr>
        <w:spacing w:after="0" w:line="360" w:lineRule="auto"/>
        <w:ind w:left="269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tugas kedinasan lain yang diperintahkan atasan sesuaidengan bidang tugasnya;</w:t>
      </w:r>
    </w:p>
    <w:p>
      <w:pPr>
        <w:spacing w:after="0" w:line="360" w:lineRule="auto"/>
        <w:ind w:left="2694"/>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numPr>
          <w:ilvl w:val="2"/>
          <w:numId w:val="8"/>
        </w:numPr>
        <w:tabs>
          <w:tab w:val="left" w:pos="1701"/>
        </w:tabs>
        <w:spacing w:after="0" w:line="360" w:lineRule="auto"/>
        <w:ind w:left="2268" w:hanging="993"/>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Bidang Perdagangan</w:t>
      </w:r>
    </w:p>
    <w:p>
      <w:pPr>
        <w:tabs>
          <w:tab w:val="left" w:pos="1701"/>
        </w:tabs>
        <w:spacing w:after="0" w:line="360" w:lineRule="auto"/>
        <w:ind w:left="2268"/>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Bidang Perdagangan dipimpin oleh Kepala Bidang yang mempunyai tugas membantu Kepala Dinas dalam mengoordinasikan, merumuskan dan melaksanakan kebijakan teknis di bidang perdagangan.</w:t>
      </w:r>
    </w:p>
    <w:p>
      <w:pPr>
        <w:tabs>
          <w:tab w:val="left" w:pos="1701"/>
        </w:tabs>
        <w:spacing w:after="0" w:line="360" w:lineRule="auto"/>
        <w:ind w:left="2268"/>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Fungsi :</w:t>
      </w:r>
    </w:p>
    <w:p>
      <w:pPr>
        <w:numPr>
          <w:ilvl w:val="1"/>
          <w:numId w:val="17"/>
        </w:numPr>
        <w:tabs>
          <w:tab w:val="left" w:pos="1701"/>
        </w:tabs>
        <w:spacing w:after="0" w:line="360" w:lineRule="auto"/>
        <w:ind w:left="2694" w:hanging="44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perumusan kebijakan teknis bidang perdagangan;</w:t>
      </w:r>
    </w:p>
    <w:p>
      <w:pPr>
        <w:numPr>
          <w:ilvl w:val="1"/>
          <w:numId w:val="17"/>
        </w:numPr>
        <w:tabs>
          <w:tab w:val="left" w:pos="1701"/>
        </w:tabs>
        <w:spacing w:after="0" w:line="360" w:lineRule="auto"/>
        <w:ind w:left="2694" w:hanging="44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kebijakan teknis bidang perdagangan;</w:t>
      </w:r>
    </w:p>
    <w:p>
      <w:pPr>
        <w:numPr>
          <w:ilvl w:val="1"/>
          <w:numId w:val="17"/>
        </w:numPr>
        <w:tabs>
          <w:tab w:val="left" w:pos="1701"/>
        </w:tabs>
        <w:spacing w:after="0" w:line="360" w:lineRule="auto"/>
        <w:ind w:left="2694" w:hanging="44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evaluasi dan pelaporan di bidang perdagangan;</w:t>
      </w:r>
    </w:p>
    <w:p>
      <w:pPr>
        <w:numPr>
          <w:ilvl w:val="1"/>
          <w:numId w:val="17"/>
        </w:numPr>
        <w:tabs>
          <w:tab w:val="left" w:pos="1701"/>
        </w:tabs>
        <w:spacing w:after="0" w:line="360" w:lineRule="auto"/>
        <w:ind w:left="2694" w:hanging="44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administrasi di bidang perdagangan; dan</w:t>
      </w:r>
    </w:p>
    <w:p>
      <w:pPr>
        <w:numPr>
          <w:ilvl w:val="1"/>
          <w:numId w:val="17"/>
        </w:numPr>
        <w:tabs>
          <w:tab w:val="left" w:pos="1701"/>
        </w:tabs>
        <w:spacing w:after="0" w:line="360" w:lineRule="auto"/>
        <w:ind w:left="2694" w:hanging="447"/>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tugas kedinasan lain yang diperintahkan atasan sesuai dengan bidang tugasnya.</w:t>
      </w:r>
    </w:p>
    <w:p>
      <w:pPr>
        <w:tabs>
          <w:tab w:val="left" w:pos="1701"/>
        </w:tabs>
        <w:spacing w:after="0" w:line="360" w:lineRule="auto"/>
        <w:ind w:left="2694" w:hanging="426"/>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Uraian tugas, meliputi :</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Bidang Perdagangan sebagai pedoman dalam pelaksanaan tugas;</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Bidang Perdagangan untuk mengetahui perkembangan pelaksanaan tugas;</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bidang tugasnya;</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bimbingan teknis pembinaan/pengembangan usaha, pengadaan dan penyaluran, perlindungan konsumen, pendaftaran perusahaan dan promosi;</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peningkatan dan kerja sama dengan dunia usaha di bidang perdagangan dalam negeri dan luar negeri;</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mitra kerja dengan instansi terkait/Dinas lainnya serta organisasi/asosiasi dunia usaha di tingkat Kabupaten dan Provinsi;</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pembinaan dan sosialisasi terhadap para pedagang atas kegiatan penggunaan produk dalam negeri dan pendistribusiannya;</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pemantauan dan pengendalian terhadap pengadaan dan penyaluran barang dan jasa di bidang perdagangan;</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melaksanakan pembinaan dan pengendalian terhadap penggunaan alat ukur, takar, timbangan dan perlengkapannya;</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mengoordinasikan dan melaksanakan pemantauan, pengendalian  dan evaluasi kebijakan teknis di bidang perdagangan;</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koordinasi dan konsultasi dengan lembaga pemerintah dan lembaga non pemerintah dalam rangka pelaksaan tugas dan fungsi;</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laporan pelaksanaan tugas Kepala Bidang Perdagangan memberi saran pertimbangan kepada atasan sebagai bahan perumusan kebijakan; dan</w:t>
      </w:r>
    </w:p>
    <w:p>
      <w:pPr>
        <w:numPr>
          <w:ilvl w:val="0"/>
          <w:numId w:val="18"/>
        </w:numPr>
        <w:tabs>
          <w:tab w:val="left" w:pos="1701"/>
        </w:tabs>
        <w:spacing w:after="0" w:line="360" w:lineRule="auto"/>
        <w:ind w:left="2694"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tugas kedinasan lain yang diperintahkan atasan sesuai dengan bidang tugasnya.</w:t>
      </w:r>
    </w:p>
    <w:p>
      <w:pPr>
        <w:tabs>
          <w:tab w:val="left" w:pos="1701"/>
        </w:tabs>
        <w:spacing w:after="0" w:line="360" w:lineRule="auto"/>
        <w:ind w:left="2694"/>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tabs>
          <w:tab w:val="left" w:pos="1701"/>
        </w:tabs>
        <w:spacing w:after="0" w:line="360" w:lineRule="auto"/>
        <w:ind w:left="2694"/>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tabs>
          <w:tab w:val="left" w:pos="1701"/>
        </w:tabs>
        <w:spacing w:after="0" w:line="360" w:lineRule="auto"/>
        <w:ind w:left="2694"/>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numPr>
          <w:ilvl w:val="2"/>
          <w:numId w:val="8"/>
        </w:numPr>
        <w:tabs>
          <w:tab w:val="left" w:pos="567"/>
          <w:tab w:val="left" w:pos="1560"/>
          <w:tab w:val="left" w:pos="1701"/>
        </w:tabs>
        <w:spacing w:after="0" w:line="360" w:lineRule="auto"/>
        <w:ind w:left="1560" w:hanging="993"/>
        <w:contextualSpacing/>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Bidang Koperasi dan Usaha Kecil Menengah</w:t>
      </w:r>
    </w:p>
    <w:p>
      <w:pPr>
        <w:tabs>
          <w:tab w:val="left" w:pos="567"/>
          <w:tab w:val="left" w:pos="1560"/>
          <w:tab w:val="left" w:pos="1701"/>
        </w:tabs>
        <w:spacing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Bidang Koperasi dan Usaha Kecil dan Menengah dipimpin oleh Kepala Bidang yang mempunyai tugas membantu Kepala Dinas dalam mengoordinasikan, merumuskan dan melaksanakan kebijakan teknis di bidang Koperasi, Usaha Kecil dan Menengah.</w:t>
      </w:r>
    </w:p>
    <w:p>
      <w:pPr>
        <w:tabs>
          <w:tab w:val="left" w:pos="567"/>
          <w:tab w:val="left" w:pos="1560"/>
          <w:tab w:val="left" w:pos="1701"/>
        </w:tabs>
        <w:spacing w:after="0" w:line="360" w:lineRule="auto"/>
        <w:ind w:left="1560"/>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Fungsi :</w:t>
      </w:r>
    </w:p>
    <w:p>
      <w:pPr>
        <w:numPr>
          <w:ilvl w:val="0"/>
          <w:numId w:val="19"/>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perumusan kebijakan teknis bidang koperasi, usaha kecil dan menengah;</w:t>
      </w:r>
    </w:p>
    <w:p>
      <w:pPr>
        <w:numPr>
          <w:ilvl w:val="0"/>
          <w:numId w:val="19"/>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kebijakan teknis bidang koperasi, usaha kecil dan menengah;</w:t>
      </w:r>
    </w:p>
    <w:p>
      <w:pPr>
        <w:numPr>
          <w:ilvl w:val="0"/>
          <w:numId w:val="19"/>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administrasi di bidang koperasi, usaha kecil dan menengah;</w:t>
      </w:r>
    </w:p>
    <w:p>
      <w:pPr>
        <w:numPr>
          <w:ilvl w:val="0"/>
          <w:numId w:val="19"/>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evaluasi dan pelaporan di bidang koperasi, usaha kecil dan menengah;</w:t>
      </w:r>
    </w:p>
    <w:p>
      <w:pPr>
        <w:numPr>
          <w:ilvl w:val="0"/>
          <w:numId w:val="19"/>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pelaksanaan fungsi lain yang diperintahkan atasan sesuai dengan tugas dan fungsinya;</w:t>
      </w:r>
    </w:p>
    <w:p>
      <w:pPr>
        <w:spacing w:after="0" w:line="360" w:lineRule="auto"/>
        <w:ind w:left="1560"/>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Uraian tugas, meliputi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rencana kegiatan Bidang Koperasi dan Usaha Kecil Menengah sebagai pedoman dalam pelaksanaan tugas;</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mendistribusikan dan memberi petunjuk pelaksanaan tugas;</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memantau, mengawasi dan mengevaluasi pelaksanaan tugas dalam lingkungan Bidan Koperasi dan Usaha Kecil Menengah untuk mengetahui perkembangan pelaksanaan tugas;</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menyusun rancangan, mengoreksi, memaraf dan/atau menandatangani naskah dinas;</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mengikuti rapat sesuai bidang tugasnya;</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melaksanakan pengkajian bahan perumusan program kerja Bidang Koperasi dan Usaha Kecil dan Menengah ;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melaksanakan pengkajian perumusan kebijakan teknis                             di bidang kelembagaan, pemberdayaan koperasi dan usaha mikro, kecil dan menengah, pengembangan sumber daya manusia, pengembangan skala usaha dan  pengawasan;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pengkajian perumusan pedoman pelayanan umum   di bidang kelembagaan, pemberdayaan koperasi dan usaha mikro, kecil dan menengah, pengembangan sumber daya manusia, pengembangan skala usaha dan  pengawasan;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pengkajian bahan koordinasi di bidang kelembagaan, pemberdayaan koperasi dan usaha mikro, kecil dan menengah, pengembangan sumber daya manusia, pengembangan skala usaha dan  pengawasan;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melaksanakan pengkajian bahan pembinaan di bidang kelembagaan,  pemberdayaan koperasi dan usaha mikro, kecil </w:t>
      </w:r>
    </w:p>
    <w:p>
      <w:pPr>
        <w:spacing w:after="0" w:line="360" w:lineRule="auto"/>
        <w:ind w:left="198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dan menengah, pengembangan sumber daya manusia, pengembangan skala usaha dan  pengawasan;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pengendalian pelaksanaan kebijakan teknis, program kerja dan pelayanan umum dalam di bidang kelembagaan, pemberdayaan koperasi dan usaha mikro, kecil dan menengah, pengembangan sumber daya manusia, pengembangan skala usaha dan  pengawasan;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pengkajian bahan kerjasama di bidang kelembagaan, pemberdayaan koperasi dan usaha mikro, kecil dan menengah, pengembangan sumber daya manusia, pengembangan skala usaha dan  pengawasan;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melaksanakan koordinasi dengan unit kerja terkait;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pengkajian bahan fasilitasi di  bidang kelembagaan.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pemberdayaan koperasi dan usaha mikro, kecil dan menengah, pengembangan sumber daya manusia, pengembangan skala usaha dan  pengawasan;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melaksanakan pengendalian ketatausahaan;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mengoordinasikan dan melakukan pemantauan, pengendaliadan dan evaluasi kebijakan teknis di bidang koperasi dan usaha kecil dan menengah;</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koordinasi dan konsultasi dengan lembaga pemerintah dan lembaga non pemerintah dalam rangka pelaksanaan tugas dan fungsi.</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menilai kinerja pegawai aparatur sipil negara sesuai ketentuan peraturan perundang-undangan</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menyusun laporan pelaksanaan tugas Kepala Bidang Koperasi dan Usaha Kecil Menengah memberi saran pertimbangan kepada atasan sebagai bahan perumusan kebijakan; </w:t>
      </w:r>
    </w:p>
    <w:p>
      <w:pPr>
        <w:numPr>
          <w:ilvl w:val="0"/>
          <w:numId w:val="20"/>
        </w:numPr>
        <w:spacing w:after="0" w:line="360" w:lineRule="auto"/>
        <w:ind w:left="1985"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melaksanakan tugas lain yang diperintahkan atasan sesuai dengan bidang tugasnya.</w:t>
      </w:r>
    </w:p>
    <w:p>
      <w:pPr>
        <w:spacing w:after="0" w:line="360" w:lineRule="auto"/>
        <w:jc w:val="both"/>
        <w:rPr>
          <w:rFonts w:ascii="Bookman Old Style" w:hAnsi="Bookman Old Style" w:eastAsia="Times New Roman" w:cs="Tahoma"/>
          <w:b/>
          <w:color w:val="000000" w:themeColor="text1"/>
          <w:sz w:val="24"/>
          <w:szCs w:val="24"/>
          <w14:textFill>
            <w14:solidFill>
              <w14:schemeClr w14:val="tx1"/>
            </w14:solidFill>
          </w14:textFill>
        </w:rPr>
      </w:pPr>
    </w:p>
    <w:p>
      <w:pPr>
        <w:numPr>
          <w:ilvl w:val="2"/>
          <w:numId w:val="8"/>
        </w:numPr>
        <w:tabs>
          <w:tab w:val="left" w:pos="567"/>
        </w:tabs>
        <w:spacing w:after="0" w:line="360" w:lineRule="auto"/>
        <w:ind w:left="1560" w:hanging="993"/>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Jabatan Fungsional.</w:t>
      </w:r>
    </w:p>
    <w:p>
      <w:pPr>
        <w:tabs>
          <w:tab w:val="left" w:pos="567"/>
        </w:tabs>
        <w:spacing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Jabatan fungsional yang telah ditetapkan berdasarkan ketentuan peraturan perundang-undangan. Pengangkatan jabatan fungsional pada Dinas dilaksanakan berdasarkan hasil analisis kebutuhan dan formasi, serta sesuai ketentuan peraturan perundang-undangan.</w:t>
      </w:r>
    </w:p>
    <w:p>
      <w:pPr>
        <w:spacing w:after="0" w:line="360" w:lineRule="auto"/>
        <w:ind w:left="993" w:firstLine="894"/>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ind w:left="993" w:firstLine="894"/>
        <w:contextualSpacing/>
        <w:jc w:val="both"/>
        <w:rPr>
          <w:rFonts w:ascii="Bookman Old Style" w:hAnsi="Bookman Old Style" w:eastAsia="Times New Roman" w:cs="Tahoma"/>
          <w:b/>
          <w:color w:val="000000" w:themeColor="text1"/>
          <w:sz w:val="24"/>
          <w:szCs w:val="24"/>
          <w14:textFill>
            <w14:solidFill>
              <w14:schemeClr w14:val="tx1"/>
            </w14:solidFill>
          </w14:textFill>
        </w:rPr>
        <w:sectPr>
          <w:headerReference r:id="rId13" w:type="first"/>
          <w:headerReference r:id="rId11" w:type="default"/>
          <w:footerReference r:id="rId14" w:type="default"/>
          <w:headerReference r:id="rId12" w:type="even"/>
          <w:footerReference r:id="rId15" w:type="even"/>
          <w:type w:val="continuous"/>
          <w:pgSz w:w="12240" w:h="20160"/>
          <w:pgMar w:top="1134" w:right="1134" w:bottom="3969" w:left="1701" w:header="794" w:footer="2268" w:gutter="0"/>
          <w:cols w:space="720" w:num="1"/>
          <w:docGrid w:linePitch="326" w:charSpace="0"/>
        </w:sectPr>
      </w:pPr>
    </w:p>
    <w:p>
      <w:pPr>
        <w:tabs>
          <w:tab w:val="left" w:pos="13036"/>
        </w:tabs>
        <w:spacing w:after="0" w:line="240" w:lineRule="auto"/>
        <w:ind w:right="283"/>
        <w:jc w:val="center"/>
        <w:rPr>
          <w:rFonts w:ascii="Tahoma" w:hAnsi="Tahoma" w:eastAsia="Times New Roman" w:cs="Tahoma"/>
          <w:b/>
          <w:color w:val="000000" w:themeColor="text1"/>
          <w:sz w:val="20"/>
          <w:szCs w:val="20"/>
          <w14:textFill>
            <w14:solidFill>
              <w14:schemeClr w14:val="tx1"/>
            </w14:solidFill>
          </w14:textFill>
        </w:rPr>
      </w:pPr>
      <w:r>
        <w:rPr>
          <w:rFonts w:ascii="Arial" w:hAnsi="Arial" w:eastAsia="Times New Roman" w:cs="Arial"/>
          <w:b/>
          <w:color w:val="000000" w:themeColor="text1"/>
          <w:sz w:val="28"/>
          <w:szCs w:val="28"/>
          <w:lang w:val="sv-SE"/>
          <w14:textFill>
            <w14:solidFill>
              <w14:schemeClr w14:val="tx1"/>
            </w14:solidFill>
          </w14:textFill>
        </w:rPr>
        <w:t>GAMBAR 2.1. STRUKTUR ORNAGISASI DINAS PERINDAG KUKM</w:t>
      </w:r>
      <w:r>
        <w:rPr>
          <w:rFonts w:ascii="Arial" w:hAnsi="Arial" w:eastAsia="Times New Roman" w:cs="Arial"/>
          <w:b/>
          <w:color w:val="000000" w:themeColor="text1"/>
          <w:sz w:val="28"/>
          <w:szCs w:val="28"/>
          <w14:textFill>
            <w14:solidFill>
              <w14:schemeClr w14:val="tx1"/>
            </w14:solidFill>
          </w14:textFill>
        </w:rPr>
        <w:t xml:space="preserve"> TAHUN 2021-2026</w:t>
      </w:r>
    </w:p>
    <w:p>
      <w:pPr>
        <w:tabs>
          <w:tab w:val="left" w:pos="4536"/>
          <w:tab w:val="left" w:pos="4820"/>
          <w:tab w:val="left" w:pos="5387"/>
        </w:tabs>
        <w:spacing w:after="0" w:line="240" w:lineRule="auto"/>
        <w:ind w:left="851" w:right="1809" w:hanging="851"/>
        <w:jc w:val="center"/>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r>
        <w:rPr>
          <w:rFonts w:ascii="Tahoma" w:hAnsi="Tahoma" w:cs="Tahoma"/>
          <w:b/>
          <w:i/>
          <w:color w:val="000000" w:themeColor="text1"/>
          <w:sz w:val="18"/>
          <w14:textFill>
            <w14:solidFill>
              <w14:schemeClr w14:val="tx1"/>
            </w14:solidFill>
          </w14:textFill>
        </w:rPr>
        <mc:AlternateContent>
          <mc:Choice Requires="wps">
            <w:drawing>
              <wp:anchor distT="0" distB="0" distL="114300" distR="114300" simplePos="0" relativeHeight="251681792" behindDoc="1" locked="0" layoutInCell="1" allowOverlap="1">
                <wp:simplePos x="0" y="0"/>
                <wp:positionH relativeFrom="column">
                  <wp:posOffset>-79375</wp:posOffset>
                </wp:positionH>
                <wp:positionV relativeFrom="paragraph">
                  <wp:posOffset>2117090</wp:posOffset>
                </wp:positionV>
                <wp:extent cx="635" cy="1683385"/>
                <wp:effectExtent l="19050" t="0" r="37465" b="31115"/>
                <wp:wrapNone/>
                <wp:docPr id="35" name="AutoShape 1138"/>
                <wp:cNvGraphicFramePr/>
                <a:graphic xmlns:a="http://schemas.openxmlformats.org/drawingml/2006/main">
                  <a:graphicData uri="http://schemas.microsoft.com/office/word/2010/wordprocessingShape">
                    <wps:wsp>
                      <wps:cNvCnPr>
                        <a:cxnSpLocks noChangeShapeType="1"/>
                      </wps:cNvCnPr>
                      <wps:spPr bwMode="auto">
                        <a:xfrm>
                          <a:off x="0" y="0"/>
                          <a:ext cx="635" cy="1683385"/>
                        </a:xfrm>
                        <a:prstGeom prst="straightConnector1">
                          <a:avLst/>
                        </a:prstGeom>
                        <a:noFill/>
                        <a:ln w="38100">
                          <a:solidFill>
                            <a:srgbClr val="000000"/>
                          </a:solidFill>
                          <a:round/>
                        </a:ln>
                      </wps:spPr>
                      <wps:bodyPr/>
                    </wps:wsp>
                  </a:graphicData>
                </a:graphic>
              </wp:anchor>
            </w:drawing>
          </mc:Choice>
          <mc:Fallback>
            <w:pict>
              <v:shape id="AutoShape 1138" o:spid="_x0000_s1026" o:spt="32" type="#_x0000_t32" style="position:absolute;left:0pt;margin-left:-6.25pt;margin-top:166.7pt;height:132.55pt;width:0.05pt;z-index:-251634688;mso-width-relative:page;mso-height-relative:page;" filled="f" stroked="t" coordsize="21600,21600" o:gfxdata="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4Kl3R2AAAAAsBAAAPAAAAAAAA&#10;AAEAIAAAACIAAABkcnMvZG93bnJldi54bWxQSwECFAAUAAAACACHTuJApafF19kBAAC5AwAADgAA&#10;AAAAAAABACAAAAAnAQAAZHJzL2Uyb0RvYy54bWxQSwUGAAAAAAYABgBZAQAAcgUAAAAA&#10;">
                <v:fill on="f" focussize="0,0"/>
                <v:stroke weight="3pt" color="#000000" joinstyle="round"/>
                <v:imagedata o:title=""/>
                <o:lock v:ext="edit" aspectratio="f"/>
              </v:shape>
            </w:pict>
          </mc:Fallback>
        </mc:AlternateContent>
      </w: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r>
        <w:rPr>
          <w:rFonts w:ascii="Cambria" w:hAnsi="Cambria" w:cs="Cambria"/>
          <w:b/>
          <w:szCs w:val="24"/>
        </w:rPr>
        <mc:AlternateContent>
          <mc:Choice Requires="wpg">
            <w:drawing>
              <wp:anchor distT="0" distB="0" distL="114300" distR="114300" simplePos="0" relativeHeight="251685888" behindDoc="0" locked="0" layoutInCell="1" allowOverlap="1">
                <wp:simplePos x="0" y="0"/>
                <wp:positionH relativeFrom="column">
                  <wp:posOffset>603250</wp:posOffset>
                </wp:positionH>
                <wp:positionV relativeFrom="paragraph">
                  <wp:posOffset>34925</wp:posOffset>
                </wp:positionV>
                <wp:extent cx="8375650" cy="4350385"/>
                <wp:effectExtent l="0" t="19050" r="26035" b="12065"/>
                <wp:wrapNone/>
                <wp:docPr id="990364073" name="Group 11"/>
                <wp:cNvGraphicFramePr/>
                <a:graphic xmlns:a="http://schemas.openxmlformats.org/drawingml/2006/main">
                  <a:graphicData uri="http://schemas.microsoft.com/office/word/2010/wordprocessingGroup">
                    <wpg:wgp>
                      <wpg:cNvGrpSpPr/>
                      <wpg:grpSpPr>
                        <a:xfrm>
                          <a:off x="0" y="0"/>
                          <a:ext cx="8375522" cy="4350385"/>
                          <a:chOff x="578226" y="-53855"/>
                          <a:chExt cx="8307547" cy="4009913"/>
                        </a:xfrm>
                      </wpg:grpSpPr>
                      <wps:wsp>
                        <wps:cNvPr id="1107851630" name="AutoShape 1012"/>
                        <wps:cNvSpPr>
                          <a:spLocks noChangeArrowheads="1"/>
                        </wps:cNvSpPr>
                        <wps:spPr bwMode="auto">
                          <a:xfrm>
                            <a:off x="2891430" y="-53855"/>
                            <a:ext cx="1646062" cy="344686"/>
                          </a:xfrm>
                          <a:prstGeom prst="roundRect">
                            <a:avLst>
                              <a:gd name="adj" fmla="val 16667"/>
                            </a:avLst>
                          </a:prstGeom>
                        </wps:spPr>
                        <wps:style>
                          <a:lnRef idx="1">
                            <a:schemeClr val="accent1"/>
                          </a:lnRef>
                          <a:fillRef idx="3">
                            <a:schemeClr val="accent1"/>
                          </a:fillRef>
                          <a:effectRef idx="2">
                            <a:schemeClr val="accent1"/>
                          </a:effectRef>
                          <a:fontRef idx="minor">
                            <a:schemeClr val="lt1"/>
                          </a:fontRef>
                        </wps:style>
                        <wps:txbx>
                          <w:txbxContent>
                            <w:p>
                              <w:pPr>
                                <w:jc w:val="center"/>
                                <w:rPr>
                                  <w:rFonts w:ascii="Tahoma" w:hAnsi="Tahoma" w:cs="Tahoma"/>
                                  <w:b/>
                                  <w:szCs w:val="16"/>
                                </w:rPr>
                              </w:pPr>
                              <w:r>
                                <w:rPr>
                                  <w:rFonts w:ascii="Tahoma" w:hAnsi="Tahoma" w:cs="Tahoma"/>
                                  <w:b/>
                                  <w:szCs w:val="16"/>
                                </w:rPr>
                                <w:t>KEPALA DINAS</w:t>
                              </w:r>
                            </w:p>
                          </w:txbxContent>
                        </wps:txbx>
                        <wps:bodyPr rot="0" vert="horz" wrap="square" lIns="91440" tIns="45720" rIns="91440" bIns="45720" anchor="t" anchorCtr="0" upright="1"/>
                      </wps:wsp>
                      <wps:wsp>
                        <wps:cNvPr id="1231926600" name="AutoShape 1069"/>
                        <wps:cNvSpPr>
                          <a:spLocks noChangeArrowheads="1"/>
                        </wps:cNvSpPr>
                        <wps:spPr bwMode="auto">
                          <a:xfrm>
                            <a:off x="578226" y="578080"/>
                            <a:ext cx="1552443" cy="648451"/>
                          </a:xfrm>
                          <a:prstGeom prst="roundRect">
                            <a:avLst>
                              <a:gd name="adj" fmla="val 16667"/>
                            </a:avLst>
                          </a:prstGeom>
                        </wps:spPr>
                        <wps:style>
                          <a:lnRef idx="2">
                            <a:schemeClr val="accent2"/>
                          </a:lnRef>
                          <a:fillRef idx="1">
                            <a:schemeClr val="lt1"/>
                          </a:fillRef>
                          <a:effectRef idx="0">
                            <a:schemeClr val="accent2"/>
                          </a:effectRef>
                          <a:fontRef idx="minor">
                            <a:schemeClr val="dk1"/>
                          </a:fontRef>
                        </wps:style>
                        <wps:txbx>
                          <w:txbxContent>
                            <w:p>
                              <w:pPr>
                                <w:jc w:val="center"/>
                                <w:rPr>
                                  <w:rFonts w:ascii="Tahoma" w:hAnsi="Tahoma" w:cs="Tahoma"/>
                                  <w:b/>
                                  <w:sz w:val="16"/>
                                  <w:szCs w:val="16"/>
                                </w:rPr>
                              </w:pPr>
                              <w:r>
                                <w:rPr>
                                  <w:rFonts w:ascii="Tahoma" w:hAnsi="Tahoma" w:cs="Tahoma"/>
                                  <w:b/>
                                  <w:sz w:val="16"/>
                                  <w:szCs w:val="16"/>
                                </w:rPr>
                                <w:t>KELOMPOK JABATAN FUNGSIONAL</w:t>
                              </w:r>
                            </w:p>
                          </w:txbxContent>
                        </wps:txbx>
                        <wps:bodyPr rot="0" vert="horz" wrap="square" lIns="91440" tIns="45720" rIns="91440" bIns="45720" anchor="t" anchorCtr="0" upright="1"/>
                      </wps:wsp>
                      <wps:wsp>
                        <wps:cNvPr id="232" name="Straight Connector 4"/>
                        <wps:cNvCnPr/>
                        <wps:spPr>
                          <a:xfrm>
                            <a:off x="1345721" y="448574"/>
                            <a:ext cx="0"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238" name="Straight Connector 5"/>
                        <wps:cNvCnPr/>
                        <wps:spPr>
                          <a:xfrm>
                            <a:off x="1322936" y="448574"/>
                            <a:ext cx="5114925" cy="0"/>
                          </a:xfrm>
                          <a:prstGeom prst="line">
                            <a:avLst/>
                          </a:prstGeom>
                        </wps:spPr>
                        <wps:style>
                          <a:lnRef idx="2">
                            <a:schemeClr val="dk1"/>
                          </a:lnRef>
                          <a:fillRef idx="0">
                            <a:schemeClr val="dk1"/>
                          </a:fillRef>
                          <a:effectRef idx="1">
                            <a:schemeClr val="dk1"/>
                          </a:effectRef>
                          <a:fontRef idx="minor">
                            <a:schemeClr val="tx1"/>
                          </a:fontRef>
                        </wps:style>
                        <wps:bodyPr/>
                      </wps:wsp>
                      <wps:wsp>
                        <wps:cNvPr id="239" name="AutoShape 1102"/>
                        <wps:cNvSpPr>
                          <a:spLocks noChangeArrowheads="1"/>
                        </wps:cNvSpPr>
                        <wps:spPr bwMode="auto">
                          <a:xfrm>
                            <a:off x="5840083" y="586596"/>
                            <a:ext cx="1323975" cy="378460"/>
                          </a:xfrm>
                          <a:prstGeom prst="roundRect">
                            <a:avLst>
                              <a:gd name="adj" fmla="val 16667"/>
                            </a:avLst>
                          </a:prstGeom>
                        </wps:spPr>
                        <wps:style>
                          <a:lnRef idx="2">
                            <a:schemeClr val="accent3"/>
                          </a:lnRef>
                          <a:fillRef idx="1">
                            <a:schemeClr val="lt1"/>
                          </a:fillRef>
                          <a:effectRef idx="0">
                            <a:schemeClr val="accent3"/>
                          </a:effectRef>
                          <a:fontRef idx="minor">
                            <a:schemeClr val="dk1"/>
                          </a:fontRef>
                        </wps:style>
                        <wps:txbx>
                          <w:txbxContent>
                            <w:p>
                              <w:pPr>
                                <w:jc w:val="center"/>
                                <w:rPr>
                                  <w:rFonts w:ascii="Tahoma" w:hAnsi="Tahoma" w:cs="Tahoma"/>
                                  <w:b/>
                                  <w:sz w:val="8"/>
                                  <w:szCs w:val="16"/>
                                </w:rPr>
                              </w:pPr>
                            </w:p>
                            <w:p>
                              <w:pPr>
                                <w:jc w:val="center"/>
                                <w:rPr>
                                  <w:rFonts w:ascii="Tahoma" w:hAnsi="Tahoma" w:cs="Tahoma"/>
                                  <w:b/>
                                  <w:sz w:val="18"/>
                                  <w:szCs w:val="16"/>
                                </w:rPr>
                              </w:pPr>
                              <w:r>
                                <w:rPr>
                                  <w:rFonts w:ascii="Tahoma" w:hAnsi="Tahoma" w:cs="Tahoma"/>
                                  <w:b/>
                                  <w:sz w:val="18"/>
                                  <w:szCs w:val="16"/>
                                </w:rPr>
                                <w:t>SEKRETARIS</w:t>
                              </w:r>
                            </w:p>
                          </w:txbxContent>
                        </wps:txbx>
                        <wps:bodyPr rot="0" vert="horz" wrap="square" lIns="91440" tIns="45720" rIns="91440" bIns="45720" anchor="t" anchorCtr="0" upright="1"/>
                      </wps:wsp>
                      <wps:wsp>
                        <wps:cNvPr id="242" name="Straight Connector 242"/>
                        <wps:cNvCnPr/>
                        <wps:spPr>
                          <a:xfrm>
                            <a:off x="6461185" y="448574"/>
                            <a:ext cx="0"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244" name="AutoShape 1090"/>
                        <wps:cNvSpPr>
                          <a:spLocks noChangeArrowheads="1"/>
                        </wps:cNvSpPr>
                        <wps:spPr bwMode="auto">
                          <a:xfrm>
                            <a:off x="3933428" y="1293914"/>
                            <a:ext cx="1467485" cy="472601"/>
                          </a:xfrm>
                          <a:prstGeom prst="roundRect">
                            <a:avLst>
                              <a:gd name="adj" fmla="val 16667"/>
                            </a:avLst>
                          </a:prstGeom>
                        </wps:spPr>
                        <wps:style>
                          <a:lnRef idx="2">
                            <a:schemeClr val="accent1"/>
                          </a:lnRef>
                          <a:fillRef idx="1">
                            <a:schemeClr val="lt1"/>
                          </a:fillRef>
                          <a:effectRef idx="0">
                            <a:schemeClr val="accent1"/>
                          </a:effectRef>
                          <a:fontRef idx="minor">
                            <a:schemeClr val="dk1"/>
                          </a:fontRef>
                        </wps:style>
                        <wps:txbx>
                          <w:txbxContent>
                            <w:p>
                              <w:pPr>
                                <w:jc w:val="center"/>
                                <w:rPr>
                                  <w:rFonts w:ascii="Tahoma" w:hAnsi="Tahoma" w:cs="Tahoma"/>
                                  <w:b/>
                                  <w:sz w:val="16"/>
                                  <w:szCs w:val="16"/>
                                </w:rPr>
                              </w:pPr>
                              <w:r>
                                <w:rPr>
                                  <w:rFonts w:ascii="Tahoma" w:hAnsi="Tahoma" w:cs="Tahoma"/>
                                  <w:b/>
                                  <w:sz w:val="16"/>
                                  <w:szCs w:val="16"/>
                                </w:rPr>
                                <w:t>SUB BAGIAN</w:t>
                              </w:r>
                            </w:p>
                            <w:p>
                              <w:pPr>
                                <w:jc w:val="center"/>
                                <w:rPr>
                                  <w:rFonts w:ascii="Tahoma" w:hAnsi="Tahoma" w:cs="Tahoma"/>
                                  <w:b/>
                                  <w:sz w:val="8"/>
                                  <w:szCs w:val="16"/>
                                  <w:lang w:val="id-ID"/>
                                </w:rPr>
                              </w:pPr>
                              <w:r>
                                <w:rPr>
                                  <w:rFonts w:ascii="Tahoma" w:hAnsi="Tahoma" w:cs="Tahoma"/>
                                  <w:b/>
                                  <w:sz w:val="16"/>
                                  <w:szCs w:val="16"/>
                                  <w:lang w:val="id-ID"/>
                                </w:rPr>
                                <w:t>KEUANGAN</w:t>
                              </w:r>
                            </w:p>
                          </w:txbxContent>
                        </wps:txbx>
                        <wps:bodyPr rot="0" vert="horz" wrap="square" lIns="91440" tIns="45720" rIns="91440" bIns="45720" anchor="t" anchorCtr="0" upright="1"/>
                      </wps:wsp>
                      <wps:wsp>
                        <wps:cNvPr id="245" name="Straight Connector 7"/>
                        <wps:cNvCnPr/>
                        <wps:spPr>
                          <a:xfrm>
                            <a:off x="6469811" y="1138687"/>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246" name="Straight Connector 9"/>
                        <wps:cNvCnPr/>
                        <wps:spPr>
                          <a:xfrm>
                            <a:off x="4675517" y="1130061"/>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247" name="Straight Connector 10"/>
                        <wps:cNvCnPr/>
                        <wps:spPr>
                          <a:xfrm>
                            <a:off x="6469811" y="966159"/>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248" name="AutoShape 1090"/>
                        <wps:cNvSpPr>
                          <a:spLocks noChangeArrowheads="1"/>
                        </wps:cNvSpPr>
                        <wps:spPr bwMode="auto">
                          <a:xfrm>
                            <a:off x="5658928" y="1285336"/>
                            <a:ext cx="1467485" cy="457200"/>
                          </a:xfrm>
                          <a:prstGeom prst="roundRect">
                            <a:avLst>
                              <a:gd name="adj" fmla="val 16667"/>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ahoma" w:hAnsi="Tahoma" w:cs="Tahoma"/>
                                  <w:b/>
                                  <w:sz w:val="16"/>
                                  <w:szCs w:val="16"/>
                                </w:rPr>
                              </w:pPr>
                              <w:r>
                                <w:rPr>
                                  <w:rFonts w:ascii="Tahoma" w:hAnsi="Tahoma" w:cs="Tahoma"/>
                                  <w:b/>
                                  <w:sz w:val="16"/>
                                  <w:szCs w:val="16"/>
                                </w:rPr>
                                <w:t>SUB BAGIAN</w:t>
                              </w:r>
                            </w:p>
                            <w:p>
                              <w:pPr>
                                <w:jc w:val="center"/>
                                <w:rPr>
                                  <w:rFonts w:ascii="Tahoma" w:hAnsi="Tahoma" w:cs="Tahoma"/>
                                  <w:b/>
                                  <w:sz w:val="8"/>
                                  <w:szCs w:val="16"/>
                                </w:rPr>
                              </w:pPr>
                              <w:r>
                                <w:rPr>
                                  <w:rFonts w:ascii="Tahoma" w:hAnsi="Tahoma" w:cs="Tahoma"/>
                                  <w:b/>
                                  <w:sz w:val="16"/>
                                  <w:szCs w:val="16"/>
                                </w:rPr>
                                <w:t>UMUM</w:t>
                              </w:r>
                              <w:r>
                                <w:rPr>
                                  <w:rFonts w:ascii="Tahoma" w:hAnsi="Tahoma" w:cs="Tahoma"/>
                                  <w:b/>
                                  <w:sz w:val="16"/>
                                  <w:szCs w:val="16"/>
                                  <w:lang w:val="id-ID"/>
                                </w:rPr>
                                <w:t xml:space="preserve"> </w:t>
                              </w:r>
                              <w:r>
                                <w:rPr>
                                  <w:rFonts w:ascii="Tahoma" w:hAnsi="Tahoma" w:cs="Tahoma"/>
                                  <w:b/>
                                  <w:sz w:val="16"/>
                                  <w:szCs w:val="16"/>
                                </w:rPr>
                                <w:t>KEPEGAWAIAN</w:t>
                              </w:r>
                            </w:p>
                          </w:txbxContent>
                        </wps:txbx>
                        <wps:bodyPr rot="0" vert="horz" wrap="square" lIns="91440" tIns="45720" rIns="91440" bIns="45720" anchor="t" anchorCtr="0" upright="1"/>
                      </wps:wsp>
                      <wps:wsp>
                        <wps:cNvPr id="249" name="AutoShape 1090"/>
                        <wps:cNvSpPr>
                          <a:spLocks noChangeArrowheads="1"/>
                        </wps:cNvSpPr>
                        <wps:spPr bwMode="auto">
                          <a:xfrm>
                            <a:off x="7418288" y="1293914"/>
                            <a:ext cx="1467485" cy="526458"/>
                          </a:xfrm>
                          <a:prstGeom prst="roundRect">
                            <a:avLst>
                              <a:gd name="adj" fmla="val 16667"/>
                            </a:avLst>
                          </a:prstGeom>
                        </wps:spPr>
                        <wps:style>
                          <a:lnRef idx="2">
                            <a:schemeClr val="dk1"/>
                          </a:lnRef>
                          <a:fillRef idx="1">
                            <a:schemeClr val="lt1"/>
                          </a:fillRef>
                          <a:effectRef idx="0">
                            <a:schemeClr val="dk1"/>
                          </a:effectRef>
                          <a:fontRef idx="minor">
                            <a:schemeClr val="dk1"/>
                          </a:fontRef>
                        </wps:style>
                        <wps:txbx>
                          <w:txbxContent>
                            <w:p>
                              <w:pPr>
                                <w:jc w:val="center"/>
                                <w:rPr>
                                  <w:rFonts w:ascii="Tahoma" w:hAnsi="Tahoma" w:cs="Tahoma"/>
                                  <w:b/>
                                  <w:sz w:val="18"/>
                                  <w:szCs w:val="16"/>
                                </w:rPr>
                              </w:pPr>
                              <w:r>
                                <w:rPr>
                                  <w:rFonts w:ascii="Tahoma" w:hAnsi="Tahoma" w:cs="Tahoma"/>
                                  <w:b/>
                                  <w:sz w:val="18"/>
                                  <w:szCs w:val="16"/>
                                </w:rPr>
                                <w:t>SUB BAGIAN</w:t>
                              </w:r>
                            </w:p>
                            <w:p>
                              <w:pPr>
                                <w:jc w:val="center"/>
                                <w:rPr>
                                  <w:rFonts w:ascii="Tahoma" w:hAnsi="Tahoma" w:cs="Tahoma"/>
                                  <w:b/>
                                  <w:sz w:val="10"/>
                                  <w:szCs w:val="16"/>
                                </w:rPr>
                              </w:pPr>
                              <w:r>
                                <w:rPr>
                                  <w:rFonts w:ascii="Tahoma" w:hAnsi="Tahoma" w:cs="Tahoma"/>
                                  <w:b/>
                                  <w:sz w:val="18"/>
                                  <w:szCs w:val="16"/>
                                </w:rPr>
                                <w:t>PROGRAM</w:t>
                              </w:r>
                            </w:p>
                          </w:txbxContent>
                        </wps:txbx>
                        <wps:bodyPr rot="0" vert="horz" wrap="square" lIns="91440" tIns="45720" rIns="91440" bIns="45720" anchor="t" anchorCtr="0" upright="1"/>
                      </wps:wsp>
                      <wps:wsp>
                        <wps:cNvPr id="250" name="Straight Connector 13"/>
                        <wps:cNvCnPr/>
                        <wps:spPr>
                          <a:xfrm>
                            <a:off x="8410755" y="1121434"/>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251" name="Straight Connector 14"/>
                        <wps:cNvCnPr/>
                        <wps:spPr>
                          <a:xfrm>
                            <a:off x="3760312" y="2251123"/>
                            <a:ext cx="3787197" cy="0"/>
                          </a:xfrm>
                          <a:prstGeom prst="line">
                            <a:avLst/>
                          </a:prstGeom>
                        </wps:spPr>
                        <wps:style>
                          <a:lnRef idx="2">
                            <a:schemeClr val="dk1"/>
                          </a:lnRef>
                          <a:fillRef idx="0">
                            <a:schemeClr val="dk1"/>
                          </a:fillRef>
                          <a:effectRef idx="1">
                            <a:schemeClr val="dk1"/>
                          </a:effectRef>
                          <a:fontRef idx="minor">
                            <a:schemeClr val="tx1"/>
                          </a:fontRef>
                        </wps:style>
                        <wps:bodyPr/>
                      </wps:wsp>
                      <wps:wsp>
                        <wps:cNvPr id="254" name="Straight Connector 16"/>
                        <wps:cNvCnPr/>
                        <wps:spPr>
                          <a:xfrm>
                            <a:off x="3760505" y="2251122"/>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255" name="AutoShape 1078"/>
                        <wps:cNvSpPr>
                          <a:spLocks noChangeArrowheads="1"/>
                        </wps:cNvSpPr>
                        <wps:spPr bwMode="auto">
                          <a:xfrm>
                            <a:off x="3176137" y="2414964"/>
                            <a:ext cx="2409825" cy="633349"/>
                          </a:xfrm>
                          <a:prstGeom prst="roundRect">
                            <a:avLst>
                              <a:gd name="adj" fmla="val 16667"/>
                            </a:avLst>
                          </a:prstGeom>
                        </wps:spPr>
                        <wps:style>
                          <a:lnRef idx="2">
                            <a:schemeClr val="accent2"/>
                          </a:lnRef>
                          <a:fillRef idx="1">
                            <a:schemeClr val="lt1"/>
                          </a:fillRef>
                          <a:effectRef idx="0">
                            <a:schemeClr val="accent2"/>
                          </a:effectRef>
                          <a:fontRef idx="minor">
                            <a:schemeClr val="dk1"/>
                          </a:fontRef>
                        </wps:style>
                        <wps:txbx>
                          <w:txbxContent>
                            <w:p>
                              <w:pPr>
                                <w:jc w:val="center"/>
                                <w:rPr>
                                  <w:rFonts w:ascii="Tahoma" w:hAnsi="Tahoma" w:cs="Tahoma"/>
                                  <w:b/>
                                  <w:sz w:val="16"/>
                                  <w:szCs w:val="13"/>
                                </w:rPr>
                              </w:pPr>
                              <w:r>
                                <w:rPr>
                                  <w:rFonts w:ascii="Tahoma" w:hAnsi="Tahoma" w:cs="Tahoma"/>
                                  <w:b/>
                                  <w:sz w:val="16"/>
                                  <w:szCs w:val="13"/>
                                </w:rPr>
                                <w:t>BIDANG</w:t>
                              </w:r>
                            </w:p>
                            <w:p>
                              <w:pPr>
                                <w:jc w:val="center"/>
                                <w:rPr>
                                  <w:rFonts w:ascii="Tahoma" w:hAnsi="Tahoma" w:cs="Tahoma"/>
                                  <w:b/>
                                  <w:sz w:val="16"/>
                                  <w:szCs w:val="13"/>
                                </w:rPr>
                              </w:pPr>
                              <w:r>
                                <w:rPr>
                                  <w:rFonts w:ascii="Tahoma" w:hAnsi="Tahoma" w:cs="Tahoma"/>
                                  <w:b/>
                                  <w:sz w:val="16"/>
                                  <w:szCs w:val="13"/>
                                </w:rPr>
                                <w:t>PERPERDAGANGAN</w:t>
                              </w:r>
                            </w:p>
                            <w:p>
                              <w:pPr>
                                <w:jc w:val="center"/>
                                <w:rPr>
                                  <w:rFonts w:ascii="Tahoma" w:hAnsi="Tahoma" w:cs="Tahoma"/>
                                  <w:b/>
                                  <w:sz w:val="15"/>
                                  <w:szCs w:val="13"/>
                                </w:rPr>
                              </w:pPr>
                            </w:p>
                          </w:txbxContent>
                        </wps:txbx>
                        <wps:bodyPr rot="0" vert="horz" wrap="square" lIns="91440" tIns="45720" rIns="91440" bIns="45720" anchor="t" anchorCtr="0" upright="1"/>
                      </wps:wsp>
                      <wps:wsp>
                        <wps:cNvPr id="40" name="Straight Connector 17"/>
                        <wps:cNvCnPr/>
                        <wps:spPr>
                          <a:xfrm>
                            <a:off x="7539487" y="2259749"/>
                            <a:ext cx="0" cy="152400"/>
                          </a:xfrm>
                          <a:prstGeom prst="line">
                            <a:avLst/>
                          </a:prstGeom>
                        </wps:spPr>
                        <wps:style>
                          <a:lnRef idx="2">
                            <a:schemeClr val="dk1"/>
                          </a:lnRef>
                          <a:fillRef idx="0">
                            <a:schemeClr val="dk1"/>
                          </a:fillRef>
                          <a:effectRef idx="1">
                            <a:schemeClr val="dk1"/>
                          </a:effectRef>
                          <a:fontRef idx="minor">
                            <a:schemeClr val="tx1"/>
                          </a:fontRef>
                        </wps:style>
                        <wps:bodyPr/>
                      </wps:wsp>
                      <wps:wsp>
                        <wps:cNvPr id="41" name="AutoShape 1100"/>
                        <wps:cNvSpPr>
                          <a:spLocks noChangeArrowheads="1"/>
                        </wps:cNvSpPr>
                        <wps:spPr bwMode="auto">
                          <a:xfrm>
                            <a:off x="6244809" y="2423529"/>
                            <a:ext cx="2600325" cy="646248"/>
                          </a:xfrm>
                          <a:prstGeom prst="roundRect">
                            <a:avLst>
                              <a:gd name="adj" fmla="val 16667"/>
                            </a:avLst>
                          </a:prstGeom>
                        </wps:spPr>
                        <wps:style>
                          <a:lnRef idx="2">
                            <a:schemeClr val="accent1"/>
                          </a:lnRef>
                          <a:fillRef idx="1">
                            <a:schemeClr val="lt1"/>
                          </a:fillRef>
                          <a:effectRef idx="0">
                            <a:schemeClr val="accent1"/>
                          </a:effectRef>
                          <a:fontRef idx="minor">
                            <a:schemeClr val="dk1"/>
                          </a:fontRef>
                        </wps:style>
                        <wps:txbx>
                          <w:txbxContent>
                            <w:p>
                              <w:pPr>
                                <w:jc w:val="center"/>
                                <w:rPr>
                                  <w:rFonts w:ascii="Tahoma" w:hAnsi="Tahoma" w:cs="Tahoma"/>
                                  <w:b/>
                                  <w:sz w:val="16"/>
                                  <w:szCs w:val="13"/>
                                </w:rPr>
                              </w:pPr>
                              <w:r>
                                <w:rPr>
                                  <w:rFonts w:ascii="Tahoma" w:hAnsi="Tahoma" w:cs="Tahoma"/>
                                  <w:b/>
                                  <w:sz w:val="16"/>
                                  <w:szCs w:val="13"/>
                                </w:rPr>
                                <w:t>BIDANG</w:t>
                              </w:r>
                            </w:p>
                            <w:p>
                              <w:pPr>
                                <w:jc w:val="center"/>
                                <w:rPr>
                                  <w:rFonts w:ascii="Tahoma" w:hAnsi="Tahoma" w:cs="Tahoma"/>
                                  <w:b/>
                                  <w:sz w:val="16"/>
                                  <w:szCs w:val="13"/>
                                </w:rPr>
                              </w:pPr>
                              <w:r>
                                <w:rPr>
                                  <w:rFonts w:ascii="Tahoma" w:hAnsi="Tahoma" w:cs="Tahoma"/>
                                  <w:b/>
                                  <w:sz w:val="16"/>
                                  <w:szCs w:val="13"/>
                                </w:rPr>
                                <w:t>KOPERASI DAN USAHA KECIL MENENGAH</w:t>
                              </w:r>
                            </w:p>
                            <w:p>
                              <w:pPr>
                                <w:jc w:val="both"/>
                                <w:rPr>
                                  <w:rFonts w:ascii="Tahoma" w:hAnsi="Tahoma" w:cs="Tahoma"/>
                                  <w:b/>
                                  <w:sz w:val="13"/>
                                  <w:szCs w:val="13"/>
                                </w:rPr>
                              </w:pPr>
                            </w:p>
                          </w:txbxContent>
                        </wps:txbx>
                        <wps:bodyPr rot="0" vert="horz" wrap="square" lIns="91440" tIns="45720" rIns="91440" bIns="45720" anchor="t" anchorCtr="0" upright="1"/>
                      </wps:wsp>
                      <wps:wsp>
                        <wps:cNvPr id="42" name="Straight Connector 48"/>
                        <wps:cNvCnPr/>
                        <wps:spPr>
                          <a:xfrm>
                            <a:off x="3761117" y="319178"/>
                            <a:ext cx="0" cy="133350"/>
                          </a:xfrm>
                          <a:prstGeom prst="line">
                            <a:avLst/>
                          </a:prstGeom>
                        </wps:spPr>
                        <wps:style>
                          <a:lnRef idx="2">
                            <a:schemeClr val="dk1"/>
                          </a:lnRef>
                          <a:fillRef idx="0">
                            <a:schemeClr val="dk1"/>
                          </a:fillRef>
                          <a:effectRef idx="1">
                            <a:schemeClr val="dk1"/>
                          </a:effectRef>
                          <a:fontRef idx="minor">
                            <a:schemeClr val="tx1"/>
                          </a:fontRef>
                        </wps:style>
                        <wps:bodyPr/>
                      </wps:wsp>
                      <wps:wsp>
                        <wps:cNvPr id="47" name="AutoShape 1012"/>
                        <wps:cNvSpPr>
                          <a:spLocks noChangeArrowheads="1"/>
                        </wps:cNvSpPr>
                        <wps:spPr bwMode="auto">
                          <a:xfrm>
                            <a:off x="3286008" y="3640747"/>
                            <a:ext cx="1056290" cy="315311"/>
                          </a:xfrm>
                          <a:prstGeom prst="roundRect">
                            <a:avLst>
                              <a:gd name="adj" fmla="val 16667"/>
                            </a:avLst>
                          </a:prstGeom>
                        </wps:spPr>
                        <wps:style>
                          <a:lnRef idx="2">
                            <a:schemeClr val="dk1"/>
                          </a:lnRef>
                          <a:fillRef idx="1">
                            <a:schemeClr val="lt1"/>
                          </a:fillRef>
                          <a:effectRef idx="0">
                            <a:schemeClr val="dk1"/>
                          </a:effectRef>
                          <a:fontRef idx="minor">
                            <a:schemeClr val="dk1"/>
                          </a:fontRef>
                        </wps:style>
                        <wps:txbx>
                          <w:txbxContent>
                            <w:p>
                              <w:pPr>
                                <w:jc w:val="center"/>
                                <w:rPr>
                                  <w:rFonts w:ascii="Tahoma" w:hAnsi="Tahoma" w:cs="Tahoma"/>
                                  <w:b/>
                                  <w:szCs w:val="16"/>
                                </w:rPr>
                              </w:pPr>
                              <w:r>
                                <w:rPr>
                                  <w:rFonts w:ascii="Tahoma" w:hAnsi="Tahoma" w:cs="Tahoma"/>
                                  <w:b/>
                                  <w:szCs w:val="16"/>
                                </w:rPr>
                                <w:t>UPTD</w:t>
                              </w:r>
                            </w:p>
                          </w:txbxContent>
                        </wps:txbx>
                        <wps:bodyPr rot="0" vert="horz" wrap="square" lIns="91440" tIns="45720" rIns="91440" bIns="45720" anchor="t" anchorCtr="0" upright="1"/>
                      </wps:wsp>
                      <wps:wsp>
                        <wps:cNvPr id="48" name="Straight Connector 14"/>
                        <wps:cNvCnPr/>
                        <wps:spPr>
                          <a:xfrm>
                            <a:off x="4651447" y="1098515"/>
                            <a:ext cx="3770940" cy="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Straight Connector 16"/>
                        <wps:cNvCnPr/>
                        <wps:spPr>
                          <a:xfrm>
                            <a:off x="3761053" y="471565"/>
                            <a:ext cx="0" cy="1788100"/>
                          </a:xfrm>
                          <a:prstGeom prst="line">
                            <a:avLst/>
                          </a:prstGeom>
                        </wps:spPr>
                        <wps:style>
                          <a:lnRef idx="2">
                            <a:schemeClr val="dk1"/>
                          </a:lnRef>
                          <a:fillRef idx="0">
                            <a:schemeClr val="dk1"/>
                          </a:fillRef>
                          <a:effectRef idx="1">
                            <a:schemeClr val="dk1"/>
                          </a:effectRef>
                          <a:fontRef idx="minor">
                            <a:schemeClr val="tx1"/>
                          </a:fontRef>
                        </wps:style>
                        <wps:bodyPr/>
                      </wps:wsp>
                      <wps:wsp>
                        <wps:cNvPr id="59" name="Straight Connector 16"/>
                        <wps:cNvCnPr/>
                        <wps:spPr>
                          <a:xfrm>
                            <a:off x="3780888" y="3090887"/>
                            <a:ext cx="0" cy="539085"/>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1" o:spid="_x0000_s1026" o:spt="203" style="position:absolute;left:0pt;margin-left:47.5pt;margin-top:2.75pt;height:342.55pt;width:659.5pt;z-index:251685888;mso-width-relative:page;mso-height-relative:page;" coordorigin="578226,-53855" coordsize="8307547,4009913" o:gfxdata="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">
                <o:lock v:ext="edit" aspectratio="f"/>
                <v:roundrect id="AutoShape 1012" o:spid="_x0000_s1026" o:spt="2" style="position:absolute;left:2891430;top:-53855;height:344686;width:1646062;" fillcolor="#71A6DB [3280]" filled="t" stroked="t" coordsize="21600,21600" arcsize="0.166666666666667" o:gfxdata="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GAjFwwAAAOMAAAAPAAAAAAAAAAEAIAAAACIAAABkcnMvZG93bnJldi54bWxQSwECFAAUAAAACACH&#10;TuJAMy8FnjsAAAA5AAAAEAAAAAAAAAABACAAAAASAQAAZHJzL3NoYXBleG1sLnhtbFBLBQYAAAAA&#10;BgAGAFsBAAC8AwAAAAA=&#10;">
                  <v:fill type="gradient" on="t" color2="#438AC9 [3184]" colors="0f #71A6DB;32768f #559BDB;65536f #438AC9" focus="100%" focussize="0,0" rotate="t">
                    <o:fill type="gradientUnscaled" v:ext="backwardCompatible"/>
                  </v:fill>
                  <v:stroke weight="0.5pt" color="#5B9BD5 [3204]" miterlimit="8" joinstyle="miter"/>
                  <v:imagedata o:title=""/>
                  <o:lock v:ext="edit" aspectratio="f"/>
                  <v:textbox>
                    <w:txbxContent>
                      <w:p>
                        <w:pPr>
                          <w:jc w:val="center"/>
                          <w:rPr>
                            <w:rFonts w:ascii="Tahoma" w:hAnsi="Tahoma" w:cs="Tahoma"/>
                            <w:b/>
                            <w:szCs w:val="16"/>
                          </w:rPr>
                        </w:pPr>
                        <w:r>
                          <w:rPr>
                            <w:rFonts w:ascii="Tahoma" w:hAnsi="Tahoma" w:cs="Tahoma"/>
                            <w:b/>
                            <w:szCs w:val="16"/>
                          </w:rPr>
                          <w:t>KEPALA DINAS</w:t>
                        </w:r>
                      </w:p>
                    </w:txbxContent>
                  </v:textbox>
                </v:roundrect>
                <v:roundrect id="AutoShape 1069" o:spid="_x0000_s1026" o:spt="2" style="position:absolute;left:578226;top:578080;height:648451;width:1552443;" fillcolor="#FFFFFF [3201]" filled="t" stroked="t" coordsize="21600,21600" arcsize="0.166666666666667" o:gfxdata="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FxmtsQAAADjAAAADwAAAAAAAAABACAAAAAiAAAAZHJzL2Rvd25yZXYueG1sUEsBAhQAFAAAAAgA&#10;h07iQDMvBZ47AAAAOQAAABAAAAAAAAAAAQAgAAAAEwEAAGRycy9zaGFwZXhtbC54bWxQSwUGAAAA&#10;AAYABgBbAQAAvQMAAAAA&#10;">
                  <v:fill on="t" focussize="0,0"/>
                  <v:stroke weight="1pt" color="#ED7D31 [3205]" miterlimit="8" joinstyle="miter"/>
                  <v:imagedata o:title=""/>
                  <o:lock v:ext="edit" aspectratio="f"/>
                  <v:textbox>
                    <w:txbxContent>
                      <w:p>
                        <w:pPr>
                          <w:jc w:val="center"/>
                          <w:rPr>
                            <w:rFonts w:ascii="Tahoma" w:hAnsi="Tahoma" w:cs="Tahoma"/>
                            <w:b/>
                            <w:sz w:val="16"/>
                            <w:szCs w:val="16"/>
                          </w:rPr>
                        </w:pPr>
                        <w:r>
                          <w:rPr>
                            <w:rFonts w:ascii="Tahoma" w:hAnsi="Tahoma" w:cs="Tahoma"/>
                            <w:b/>
                            <w:sz w:val="16"/>
                            <w:szCs w:val="16"/>
                          </w:rPr>
                          <w:t>KELOMPOK JABATAN FUNGSIONAL</w:t>
                        </w:r>
                      </w:p>
                    </w:txbxContent>
                  </v:textbox>
                </v:roundrect>
                <v:line id="Straight Connector 4" o:spid="_x0000_s1026" o:spt="20" style="position:absolute;left:1345721;top:448574;height:133350;width:0;" filled="f" stroked="t" coordsize="21600,21600" o:gfxdata="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n3S/&#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Straight Connector 5" o:spid="_x0000_s1026" o:spt="20" style="position:absolute;left:1322936;top:448574;height:0;width:5114925;" filled="f" stroked="t" coordsize="21600,21600" o:gfxdata="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BqJ68AAAA&#10;3A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roundrect id="AutoShape 1102" o:spid="_x0000_s1026" o:spt="2" style="position:absolute;left:5840083;top:586596;height:378460;width:1323975;" fillcolor="#FFFFFF [3201]" filled="t" stroked="t" coordsize="21600,21600" arcsize="0.166666666666667" o:gfxdata="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nTf7sAAADc&#10;AAAADwAAAAAAAAABACAAAAAiAAAAZHJzL2Rvd25yZXYueG1sUEsBAhQAFAAAAAgAh07iQDMvBZ47&#10;AAAAOQAAABAAAAAAAAAAAQAgAAAACgEAAGRycy9zaGFwZXhtbC54bWxQSwUGAAAAAAYABgBbAQAA&#10;tAMAAAAA&#10;">
                  <v:fill on="t" focussize="0,0"/>
                  <v:stroke weight="1pt" color="#A5A5A5 [3206]" miterlimit="8" joinstyle="miter"/>
                  <v:imagedata o:title=""/>
                  <o:lock v:ext="edit" aspectratio="f"/>
                  <v:textbox>
                    <w:txbxContent>
                      <w:p>
                        <w:pPr>
                          <w:jc w:val="center"/>
                          <w:rPr>
                            <w:rFonts w:ascii="Tahoma" w:hAnsi="Tahoma" w:cs="Tahoma"/>
                            <w:b/>
                            <w:sz w:val="8"/>
                            <w:szCs w:val="16"/>
                          </w:rPr>
                        </w:pPr>
                      </w:p>
                      <w:p>
                        <w:pPr>
                          <w:jc w:val="center"/>
                          <w:rPr>
                            <w:rFonts w:ascii="Tahoma" w:hAnsi="Tahoma" w:cs="Tahoma"/>
                            <w:b/>
                            <w:sz w:val="18"/>
                            <w:szCs w:val="16"/>
                          </w:rPr>
                        </w:pPr>
                        <w:r>
                          <w:rPr>
                            <w:rFonts w:ascii="Tahoma" w:hAnsi="Tahoma" w:cs="Tahoma"/>
                            <w:b/>
                            <w:sz w:val="18"/>
                            <w:szCs w:val="16"/>
                          </w:rPr>
                          <w:t>SEKRETARIS</w:t>
                        </w:r>
                      </w:p>
                    </w:txbxContent>
                  </v:textbox>
                </v:roundrect>
                <v:line id="_x0000_s1026" o:spid="_x0000_s1026" o:spt="20" style="position:absolute;left:6461185;top:448574;height:133350;width:0;" filled="f" stroked="t" coordsize="21600,21600" o:gfxdata="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v7Am/&#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roundrect id="AutoShape 1090" o:spid="_x0000_s1026" o:spt="2" style="position:absolute;left:3933428;top:1293914;height:472601;width:1467485;" fillcolor="#FFFFFF [3201]" filled="t" stroked="t" coordsize="21600,21600" arcsize="0.166666666666667" o:gfxdata="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C63r4A&#10;AADc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w:txbxContent>
                      <w:p>
                        <w:pPr>
                          <w:jc w:val="center"/>
                          <w:rPr>
                            <w:rFonts w:ascii="Tahoma" w:hAnsi="Tahoma" w:cs="Tahoma"/>
                            <w:b/>
                            <w:sz w:val="16"/>
                            <w:szCs w:val="16"/>
                          </w:rPr>
                        </w:pPr>
                        <w:r>
                          <w:rPr>
                            <w:rFonts w:ascii="Tahoma" w:hAnsi="Tahoma" w:cs="Tahoma"/>
                            <w:b/>
                            <w:sz w:val="16"/>
                            <w:szCs w:val="16"/>
                          </w:rPr>
                          <w:t>SUB BAGIAN</w:t>
                        </w:r>
                      </w:p>
                      <w:p>
                        <w:pPr>
                          <w:jc w:val="center"/>
                          <w:rPr>
                            <w:rFonts w:ascii="Tahoma" w:hAnsi="Tahoma" w:cs="Tahoma"/>
                            <w:b/>
                            <w:sz w:val="8"/>
                            <w:szCs w:val="16"/>
                            <w:lang w:val="id-ID"/>
                          </w:rPr>
                        </w:pPr>
                        <w:r>
                          <w:rPr>
                            <w:rFonts w:ascii="Tahoma" w:hAnsi="Tahoma" w:cs="Tahoma"/>
                            <w:b/>
                            <w:sz w:val="16"/>
                            <w:szCs w:val="16"/>
                            <w:lang w:val="id-ID"/>
                          </w:rPr>
                          <w:t>KEUANGAN</w:t>
                        </w:r>
                      </w:p>
                    </w:txbxContent>
                  </v:textbox>
                </v:roundrect>
                <v:line id="Straight Connector 7" o:spid="_x0000_s1026" o:spt="20" style="position:absolute;left:6469811;top:1138687;height:152400;width:0;" filled="f" stroked="t" coordsize="21600,21600" o:gfxdata="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GdH2/&#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Straight Connector 9" o:spid="_x0000_s1026" o:spt="20" style="position:absolute;left:4675517;top:1130061;height:152400;width:0;" filled="f" stroked="t" coordsize="21600,21600" o:gfxdata="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U6gq/&#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Straight Connector 10" o:spid="_x0000_s1026" o:spt="20" style="position:absolute;left:6469811;top:966159;height:152400;width:0;" filled="f" stroked="t" coordsize="21600,21600" o:gfxdata="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E+R&#10;wAAAANwAAAAPAAAAAAAAAAEAIAAAACIAAABkcnMvZG93bnJldi54bWxQSwECFAAUAAAACACHTuJA&#10;My8FnjsAAAA5AAAAEAAAAAAAAAABACAAAAAPAQAAZHJzL3NoYXBleG1sLnhtbFBLBQYAAAAABgAG&#10;AFsBAAC5AwAAAAA=&#10;">
                  <v:fill on="f" focussize="0,0"/>
                  <v:stroke weight="1pt" color="#000000 [3200]" miterlimit="8" joinstyle="miter"/>
                  <v:imagedata o:title=""/>
                  <o:lock v:ext="edit" aspectratio="f"/>
                </v:line>
                <v:roundrect id="AutoShape 1090" o:spid="_x0000_s1026" o:spt="2" style="position:absolute;left:5658928;top:1285336;height:457200;width:1467485;" fillcolor="#FFFFFF [3201]" filled="t" stroked="t" coordsize="21600,21600" arcsize="0.166666666666667" o:gfxdata="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DFYvQAA&#10;ANwAAAAPAAAAAAAAAAEAIAAAACIAAABkcnMvZG93bnJldi54bWxQSwECFAAUAAAACACHTuJAMy8F&#10;njsAAAA5AAAAEAAAAAAAAAABACAAAAAMAQAAZHJzL3NoYXBleG1sLnhtbFBLBQYAAAAABgAGAFsB&#10;AAC2AwAAAAA=&#10;">
                  <v:fill on="t" focussize="0,0"/>
                  <v:stroke weight="1pt" color="#70AD47 [3209]" miterlimit="8" joinstyle="miter"/>
                  <v:imagedata o:title=""/>
                  <o:lock v:ext="edit" aspectratio="f"/>
                  <v:textbox>
                    <w:txbxContent>
                      <w:p>
                        <w:pPr>
                          <w:jc w:val="center"/>
                          <w:rPr>
                            <w:rFonts w:ascii="Tahoma" w:hAnsi="Tahoma" w:cs="Tahoma"/>
                            <w:b/>
                            <w:sz w:val="16"/>
                            <w:szCs w:val="16"/>
                          </w:rPr>
                        </w:pPr>
                        <w:r>
                          <w:rPr>
                            <w:rFonts w:ascii="Tahoma" w:hAnsi="Tahoma" w:cs="Tahoma"/>
                            <w:b/>
                            <w:sz w:val="16"/>
                            <w:szCs w:val="16"/>
                          </w:rPr>
                          <w:t>SUB BAGIAN</w:t>
                        </w:r>
                      </w:p>
                      <w:p>
                        <w:pPr>
                          <w:jc w:val="center"/>
                          <w:rPr>
                            <w:rFonts w:ascii="Tahoma" w:hAnsi="Tahoma" w:cs="Tahoma"/>
                            <w:b/>
                            <w:sz w:val="8"/>
                            <w:szCs w:val="16"/>
                          </w:rPr>
                        </w:pPr>
                        <w:r>
                          <w:rPr>
                            <w:rFonts w:ascii="Tahoma" w:hAnsi="Tahoma" w:cs="Tahoma"/>
                            <w:b/>
                            <w:sz w:val="16"/>
                            <w:szCs w:val="16"/>
                          </w:rPr>
                          <w:t>UMUM</w:t>
                        </w:r>
                        <w:r>
                          <w:rPr>
                            <w:rFonts w:ascii="Tahoma" w:hAnsi="Tahoma" w:cs="Tahoma"/>
                            <w:b/>
                            <w:sz w:val="16"/>
                            <w:szCs w:val="16"/>
                            <w:lang w:val="id-ID"/>
                          </w:rPr>
                          <w:t xml:space="preserve"> </w:t>
                        </w:r>
                        <w:r>
                          <w:rPr>
                            <w:rFonts w:ascii="Tahoma" w:hAnsi="Tahoma" w:cs="Tahoma"/>
                            <w:b/>
                            <w:sz w:val="16"/>
                            <w:szCs w:val="16"/>
                          </w:rPr>
                          <w:t>KEPEGAWAIAN</w:t>
                        </w:r>
                      </w:p>
                    </w:txbxContent>
                  </v:textbox>
                </v:roundrect>
                <v:roundrect id="AutoShape 1090" o:spid="_x0000_s1026" o:spt="2" style="position:absolute;left:7418288;top:1293914;height:526458;width:1467485;" fillcolor="#FFFFFF [3201]" filled="t" stroked="t" coordsize="21600,21600" arcsize="0.166666666666667" o:gfxdata="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tF4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rPr>
                            <w:rFonts w:ascii="Tahoma" w:hAnsi="Tahoma" w:cs="Tahoma"/>
                            <w:b/>
                            <w:sz w:val="18"/>
                            <w:szCs w:val="16"/>
                          </w:rPr>
                        </w:pPr>
                        <w:r>
                          <w:rPr>
                            <w:rFonts w:ascii="Tahoma" w:hAnsi="Tahoma" w:cs="Tahoma"/>
                            <w:b/>
                            <w:sz w:val="18"/>
                            <w:szCs w:val="16"/>
                          </w:rPr>
                          <w:t>SUB BAGIAN</w:t>
                        </w:r>
                      </w:p>
                      <w:p>
                        <w:pPr>
                          <w:jc w:val="center"/>
                          <w:rPr>
                            <w:rFonts w:ascii="Tahoma" w:hAnsi="Tahoma" w:cs="Tahoma"/>
                            <w:b/>
                            <w:sz w:val="10"/>
                            <w:szCs w:val="16"/>
                          </w:rPr>
                        </w:pPr>
                        <w:r>
                          <w:rPr>
                            <w:rFonts w:ascii="Tahoma" w:hAnsi="Tahoma" w:cs="Tahoma"/>
                            <w:b/>
                            <w:sz w:val="18"/>
                            <w:szCs w:val="16"/>
                          </w:rPr>
                          <w:t>PROGRAM</w:t>
                        </w:r>
                      </w:p>
                    </w:txbxContent>
                  </v:textbox>
                </v:roundrect>
                <v:line id="Straight Connector 13" o:spid="_x0000_s1026" o:spt="20" style="position:absolute;left:8410755;top:1121434;height:152400;width:0;" filled="f" stroked="t" coordsize="21600,21600" o:gfxdata="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QTi8AAAA&#10;3A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line>
                <v:line id="Straight Connector 14" o:spid="_x0000_s1026" o:spt="20" style="position:absolute;left:3760312;top:2251123;height:0;width:3787197;" filled="f" stroked="t" coordsize="21600,21600" o:gfxdata="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k5KO/&#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Straight Connector 16" o:spid="_x0000_s1026" o:spt="20" style="position:absolute;left:3760505;top:2251122;height:152400;width:0;" filled="f" stroked="t" coordsize="21600,21600" o:gfxdata="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TRzu/&#10;AAAA3A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roundrect id="AutoShape 1078" o:spid="_x0000_s1026" o:spt="2" style="position:absolute;left:3176137;top:2414964;height:633349;width:2409825;" fillcolor="#FFFFFF [3201]" filled="t" stroked="t" coordsize="21600,21600" arcsize="0.166666666666667" o:gfxdata="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DnD2/&#10;AAAA3AAAAA8AAAAAAAAAAQAgAAAAIgAAAGRycy9kb3ducmV2LnhtbFBLAQIUABQAAAAIAIdO4kAz&#10;LwWeOwAAADkAAAAQAAAAAAAAAAEAIAAAAA4BAABkcnMvc2hhcGV4bWwueG1sUEsFBgAAAAAGAAYA&#10;WwEAALgDAAAAAA==&#10;">
                  <v:fill on="t" focussize="0,0"/>
                  <v:stroke weight="1pt" color="#ED7D31 [3205]" miterlimit="8" joinstyle="miter"/>
                  <v:imagedata o:title=""/>
                  <o:lock v:ext="edit" aspectratio="f"/>
                  <v:textbox>
                    <w:txbxContent>
                      <w:p>
                        <w:pPr>
                          <w:jc w:val="center"/>
                          <w:rPr>
                            <w:rFonts w:ascii="Tahoma" w:hAnsi="Tahoma" w:cs="Tahoma"/>
                            <w:b/>
                            <w:sz w:val="16"/>
                            <w:szCs w:val="13"/>
                          </w:rPr>
                        </w:pPr>
                        <w:r>
                          <w:rPr>
                            <w:rFonts w:ascii="Tahoma" w:hAnsi="Tahoma" w:cs="Tahoma"/>
                            <w:b/>
                            <w:sz w:val="16"/>
                            <w:szCs w:val="13"/>
                          </w:rPr>
                          <w:t>BIDANG</w:t>
                        </w:r>
                      </w:p>
                      <w:p>
                        <w:pPr>
                          <w:jc w:val="center"/>
                          <w:rPr>
                            <w:rFonts w:ascii="Tahoma" w:hAnsi="Tahoma" w:cs="Tahoma"/>
                            <w:b/>
                            <w:sz w:val="16"/>
                            <w:szCs w:val="13"/>
                          </w:rPr>
                        </w:pPr>
                        <w:r>
                          <w:rPr>
                            <w:rFonts w:ascii="Tahoma" w:hAnsi="Tahoma" w:cs="Tahoma"/>
                            <w:b/>
                            <w:sz w:val="16"/>
                            <w:szCs w:val="13"/>
                          </w:rPr>
                          <w:t>PERPERDAGANGAN</w:t>
                        </w:r>
                      </w:p>
                      <w:p>
                        <w:pPr>
                          <w:jc w:val="center"/>
                          <w:rPr>
                            <w:rFonts w:ascii="Tahoma" w:hAnsi="Tahoma" w:cs="Tahoma"/>
                            <w:b/>
                            <w:sz w:val="15"/>
                            <w:szCs w:val="13"/>
                          </w:rPr>
                        </w:pPr>
                      </w:p>
                    </w:txbxContent>
                  </v:textbox>
                </v:roundrect>
                <v:line id="Straight Connector 17" o:spid="_x0000_s1026" o:spt="20" style="position:absolute;left:7539487;top:2259749;height:152400;width:0;" filled="f" stroked="t" coordsize="21600,21600" o:gfxdata="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FkCS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line>
                <v:roundrect id="AutoShape 1100" o:spid="_x0000_s1026" o:spt="2" style="position:absolute;left:6244809;top:2423529;height:646248;width:2600325;" fillcolor="#FFFFFF [3201]" filled="t" stroked="t" coordsize="21600,21600" arcsize="0.166666666666667" o:gfxdata="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Zz26vQAA&#10;ANsAAAAPAAAAAAAAAAEAIAAAACIAAABkcnMvZG93bnJldi54bWxQSwECFAAUAAAACACHTuJAMy8F&#10;njsAAAA5AAAAEAAAAAAAAAABACAAAAAMAQAAZHJzL3NoYXBleG1sLnhtbFBLBQYAAAAABgAGAFsB&#10;AAC2AwAAAAA=&#10;">
                  <v:fill on="t" focussize="0,0"/>
                  <v:stroke weight="1pt" color="#5B9BD5 [3204]" miterlimit="8" joinstyle="miter"/>
                  <v:imagedata o:title=""/>
                  <o:lock v:ext="edit" aspectratio="f"/>
                  <v:textbox>
                    <w:txbxContent>
                      <w:p>
                        <w:pPr>
                          <w:jc w:val="center"/>
                          <w:rPr>
                            <w:rFonts w:ascii="Tahoma" w:hAnsi="Tahoma" w:cs="Tahoma"/>
                            <w:b/>
                            <w:sz w:val="16"/>
                            <w:szCs w:val="13"/>
                          </w:rPr>
                        </w:pPr>
                        <w:r>
                          <w:rPr>
                            <w:rFonts w:ascii="Tahoma" w:hAnsi="Tahoma" w:cs="Tahoma"/>
                            <w:b/>
                            <w:sz w:val="16"/>
                            <w:szCs w:val="13"/>
                          </w:rPr>
                          <w:t>BIDANG</w:t>
                        </w:r>
                      </w:p>
                      <w:p>
                        <w:pPr>
                          <w:jc w:val="center"/>
                          <w:rPr>
                            <w:rFonts w:ascii="Tahoma" w:hAnsi="Tahoma" w:cs="Tahoma"/>
                            <w:b/>
                            <w:sz w:val="16"/>
                            <w:szCs w:val="13"/>
                          </w:rPr>
                        </w:pPr>
                        <w:r>
                          <w:rPr>
                            <w:rFonts w:ascii="Tahoma" w:hAnsi="Tahoma" w:cs="Tahoma"/>
                            <w:b/>
                            <w:sz w:val="16"/>
                            <w:szCs w:val="13"/>
                          </w:rPr>
                          <w:t>KOPERASI DAN USAHA KECIL MENENGAH</w:t>
                        </w:r>
                      </w:p>
                      <w:p>
                        <w:pPr>
                          <w:jc w:val="both"/>
                          <w:rPr>
                            <w:rFonts w:ascii="Tahoma" w:hAnsi="Tahoma" w:cs="Tahoma"/>
                            <w:b/>
                            <w:sz w:val="13"/>
                            <w:szCs w:val="13"/>
                          </w:rPr>
                        </w:pPr>
                      </w:p>
                    </w:txbxContent>
                  </v:textbox>
                </v:roundrect>
                <v:line id="Straight Connector 48" o:spid="_x0000_s1026" o:spt="20" style="position:absolute;left:3761117;top:319178;height:133350;width:0;" filled="f" stroked="t" coordsize="21600,21600" o:gfxdata="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7fr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roundrect id="AutoShape 1012" o:spid="_x0000_s1026" o:spt="2" style="position:absolute;left:3286008;top:3640747;height:315311;width:1056290;" fillcolor="#FFFFFF [3201]" filled="t" stroked="t" coordsize="21600,21600" arcsize="0.166666666666667" o:gfxdata="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LWA+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rPr>
                            <w:rFonts w:ascii="Tahoma" w:hAnsi="Tahoma" w:cs="Tahoma"/>
                            <w:b/>
                            <w:szCs w:val="16"/>
                          </w:rPr>
                        </w:pPr>
                        <w:r>
                          <w:rPr>
                            <w:rFonts w:ascii="Tahoma" w:hAnsi="Tahoma" w:cs="Tahoma"/>
                            <w:b/>
                            <w:szCs w:val="16"/>
                          </w:rPr>
                          <w:t>UPTD</w:t>
                        </w:r>
                      </w:p>
                    </w:txbxContent>
                  </v:textbox>
                </v:roundrect>
                <v:line id="Straight Connector 14" o:spid="_x0000_s1026" o:spt="20" style="position:absolute;left:4651447;top:1098515;height:0;width:3770940;" filled="f" stroked="t" coordsize="21600,21600" o:gfxdata="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YEyU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line>
                <v:line id="Straight Connector 16" o:spid="_x0000_s1026" o:spt="20" style="position:absolute;left:3761053;top:471565;height:1788100;width:0;" filled="f" stroked="t" coordsize="21600,21600" o:gfxdata="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s6Q+/&#10;AAAA2w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line id="Straight Connector 16" o:spid="_x0000_s1026" o:spt="20" style="position:absolute;left:3780888;top:3090887;height:539085;width:0;" filled="f" stroked="t" coordsize="21600,21600" o:gfxdata="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1f9K/&#10;AAAA2wAAAA8AAAAAAAAAAQAgAAAAIgAAAGRycy9kb3ducmV2LnhtbFBLAQIUABQAAAAIAIdO4kAz&#10;LwWeOwAAADkAAAAQAAAAAAAAAAEAIAAAAA4BAABkcnMvc2hhcGV4bWwueG1sUEsFBgAAAAAGAAYA&#10;WwEAALgDAAAAAA==&#10;">
                  <v:fill on="f" focussize="0,0"/>
                  <v:stroke weight="1pt" color="#000000 [3200]" miterlimit="8" joinstyle="miter"/>
                  <v:imagedata o:title=""/>
                  <o:lock v:ext="edit" aspectratio="f"/>
                </v:line>
              </v:group>
            </w:pict>
          </mc:Fallback>
        </mc:AlternateContent>
      </w: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tabs>
          <w:tab w:val="left" w:pos="4035"/>
        </w:tabs>
        <w:spacing w:after="0" w:line="240" w:lineRule="auto"/>
        <w:rPr>
          <w:rFonts w:ascii="Tahoma" w:hAnsi="Tahoma" w:eastAsia="Times New Roman" w:cs="Tahoma"/>
          <w:color w:val="000000" w:themeColor="text1"/>
          <w:sz w:val="14"/>
          <w:szCs w:val="18"/>
          <w14:textFill>
            <w14:solidFill>
              <w14:schemeClr w14:val="tx1"/>
            </w14:solidFill>
          </w14:textFill>
        </w:rPr>
      </w:pPr>
      <w:r>
        <w:rPr>
          <w:rFonts w:ascii="Tahoma" w:hAnsi="Tahoma" w:cs="Tahoma"/>
          <w:b/>
          <w:i/>
          <w:color w:val="000000" w:themeColor="text1"/>
          <w:sz w:val="18"/>
          <w14:textFill>
            <w14:solidFill>
              <w14:schemeClr w14:val="tx1"/>
            </w14:solidFill>
          </w14:textFill>
        </w:rPr>
        <mc:AlternateContent>
          <mc:Choice Requires="wps">
            <w:drawing>
              <wp:anchor distT="0" distB="0" distL="114300" distR="114300" simplePos="0" relativeHeight="251682816" behindDoc="1" locked="0" layoutInCell="1" allowOverlap="1">
                <wp:simplePos x="0" y="0"/>
                <wp:positionH relativeFrom="column">
                  <wp:posOffset>-97155</wp:posOffset>
                </wp:positionH>
                <wp:positionV relativeFrom="paragraph">
                  <wp:posOffset>2589530</wp:posOffset>
                </wp:positionV>
                <wp:extent cx="90805" cy="635"/>
                <wp:effectExtent l="19050" t="19050" r="23495" b="37465"/>
                <wp:wrapNone/>
                <wp:docPr id="39" name="AutoShape 1139"/>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straightConnector1">
                          <a:avLst/>
                        </a:prstGeom>
                        <a:noFill/>
                        <a:ln w="38100">
                          <a:solidFill>
                            <a:srgbClr val="000000"/>
                          </a:solidFill>
                          <a:round/>
                        </a:ln>
                      </wps:spPr>
                      <wps:bodyPr/>
                    </wps:wsp>
                  </a:graphicData>
                </a:graphic>
              </wp:anchor>
            </w:drawing>
          </mc:Choice>
          <mc:Fallback>
            <w:pict>
              <v:shape id="AutoShape 1139" o:spid="_x0000_s1026" o:spt="32" type="#_x0000_t32" style="position:absolute;left:0pt;margin-left:-7.65pt;margin-top:203.9pt;height:0.05pt;width:7.15pt;z-index:-251633664;mso-width-relative:page;mso-height-relative:page;" filled="f" stroked="t" coordsize="21600,21600" o:gfxdata="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Fq04tcAAAAKAQAADwAAAAAAAAAB&#10;ACAAAAAiAAAAZHJzL2Rvd25yZXYueG1sUEsBAhQAFAAAAAgAh07iQKMAJmLYAQAAtwMAAA4AAAAA&#10;AAAAAQAgAAAAJgEAAGRycy9lMm9Eb2MueG1sUEsFBgAAAAAGAAYAWQEAAHAFAAAAAA==&#10;">
                <v:fill on="f" focussize="0,0"/>
                <v:stroke weight="3pt" color="#000000" joinstyle="round"/>
                <v:imagedata o:title=""/>
                <o:lock v:ext="edit" aspectratio="f"/>
              </v:shape>
            </w:pict>
          </mc:Fallback>
        </mc:AlternateContent>
      </w:r>
      <w:r>
        <w:rPr>
          <w:rFonts w:ascii="Tahoma" w:hAnsi="Tahoma" w:cs="Tahoma"/>
          <w:b/>
          <w:i/>
          <w:color w:val="000000" w:themeColor="text1"/>
          <w:sz w:val="18"/>
          <w14:textFill>
            <w14:solidFill>
              <w14:schemeClr w14:val="tx1"/>
            </w14:solidFill>
          </w14:textFill>
        </w:rPr>
        <mc:AlternateContent>
          <mc:Choice Requires="wps">
            <w:drawing>
              <wp:anchor distT="0" distB="0" distL="114300" distR="114300" simplePos="0" relativeHeight="251683840" behindDoc="1" locked="0" layoutInCell="1" allowOverlap="1">
                <wp:simplePos x="0" y="0"/>
                <wp:positionH relativeFrom="column">
                  <wp:posOffset>-99060</wp:posOffset>
                </wp:positionH>
                <wp:positionV relativeFrom="paragraph">
                  <wp:posOffset>3244850</wp:posOffset>
                </wp:positionV>
                <wp:extent cx="90805" cy="635"/>
                <wp:effectExtent l="19050" t="19050" r="23495" b="37465"/>
                <wp:wrapNone/>
                <wp:docPr id="38" name="AutoShape 1140"/>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straightConnector1">
                          <a:avLst/>
                        </a:prstGeom>
                        <a:noFill/>
                        <a:ln w="38100">
                          <a:solidFill>
                            <a:srgbClr val="000000"/>
                          </a:solidFill>
                          <a:round/>
                        </a:ln>
                      </wps:spPr>
                      <wps:bodyPr/>
                    </wps:wsp>
                  </a:graphicData>
                </a:graphic>
              </wp:anchor>
            </w:drawing>
          </mc:Choice>
          <mc:Fallback>
            <w:pict>
              <v:shape id="AutoShape 1140" o:spid="_x0000_s1026" o:spt="32" type="#_x0000_t32" style="position:absolute;left:0pt;margin-left:-7.8pt;margin-top:255.5pt;height:0.05pt;width:7.15pt;z-index:-251632640;mso-width-relative:page;mso-height-relative:page;" filled="f" stroked="t" coordsize="21600,21600" o:gfxdata="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4AkotYAAAAKAQAADwAAAAAAAAAB&#10;ACAAAAAiAAAAZHJzL2Rvd25yZXYueG1sUEsBAhQAFAAAAAgAh07iQGahpo/ZAQAAtwMAAA4AAAAA&#10;AAAAAQAgAAAAJQEAAGRycy9lMm9Eb2MueG1sUEsFBgAAAAAGAAYAWQEAAHAFAAAAAA==&#10;">
                <v:fill on="f" focussize="0,0"/>
                <v:stroke weight="3pt" color="#000000" joinstyle="round"/>
                <v:imagedata o:title=""/>
                <o:lock v:ext="edit" aspectratio="f"/>
              </v:shape>
            </w:pict>
          </mc:Fallback>
        </mc:AlternateContent>
      </w:r>
      <w:r>
        <w:rPr>
          <w:rFonts w:ascii="Tahoma" w:hAnsi="Tahoma" w:cs="Tahoma"/>
          <w:b/>
          <w:i/>
          <w:color w:val="000000" w:themeColor="text1"/>
          <w:sz w:val="18"/>
          <w14:textFill>
            <w14:solidFill>
              <w14:schemeClr w14:val="tx1"/>
            </w14:solidFill>
          </w14:textFill>
        </w:rPr>
        <mc:AlternateContent>
          <mc:Choice Requires="wps">
            <w:drawing>
              <wp:anchor distT="0" distB="0" distL="114300" distR="114300" simplePos="0" relativeHeight="251680768" behindDoc="1" locked="0" layoutInCell="1" allowOverlap="1">
                <wp:simplePos x="0" y="0"/>
                <wp:positionH relativeFrom="column">
                  <wp:posOffset>-95250</wp:posOffset>
                </wp:positionH>
                <wp:positionV relativeFrom="paragraph">
                  <wp:posOffset>1939925</wp:posOffset>
                </wp:positionV>
                <wp:extent cx="90805" cy="635"/>
                <wp:effectExtent l="19050" t="19050" r="23495" b="37465"/>
                <wp:wrapNone/>
                <wp:docPr id="37" name="AutoShape 1135"/>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straightConnector1">
                          <a:avLst/>
                        </a:prstGeom>
                        <a:noFill/>
                        <a:ln w="38100">
                          <a:solidFill>
                            <a:srgbClr val="000000"/>
                          </a:solidFill>
                          <a:round/>
                        </a:ln>
                      </wps:spPr>
                      <wps:bodyPr/>
                    </wps:wsp>
                  </a:graphicData>
                </a:graphic>
              </wp:anchor>
            </w:drawing>
          </mc:Choice>
          <mc:Fallback>
            <w:pict>
              <v:shape id="AutoShape 1135" o:spid="_x0000_s1026" o:spt="32" type="#_x0000_t32" style="position:absolute;left:0pt;margin-left:-7.5pt;margin-top:152.75pt;height:0.05pt;width:7.15pt;z-index:-251635712;mso-width-relative:page;mso-height-relative:page;" filled="f" stroked="t" coordsize="21600,21600" o:gfxdata="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44oLdYAAAAJAQAADwAAAAAAAAAB&#10;ACAAAAAiAAAAZHJzL2Rvd25yZXYueG1sUEsBAhQAFAAAAAgAh07iQPAtjlbZAQAAtwMAAA4AAAAA&#10;AAAAAQAgAAAAJQEAAGRycy9lMm9Eb2MueG1sUEsFBgAAAAAGAAYAWQEAAHAFAAAAAA==&#10;">
                <v:fill on="f" focussize="0,0"/>
                <v:stroke weight="3pt" color="#000000" joinstyle="round"/>
                <v:imagedata o:title=""/>
                <o:lock v:ext="edit" aspectratio="f"/>
              </v:shape>
            </w:pict>
          </mc:Fallback>
        </mc:AlternateContent>
      </w: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r>
        <w:rPr>
          <w:rFonts w:ascii="Tahoma" w:hAnsi="Tahoma" w:cs="Tahoma"/>
          <w:color w:val="FFFFFF" w:themeColor="background1"/>
          <w:sz w:val="14"/>
          <w:szCs w:val="18"/>
          <w14:textFill>
            <w14:solidFill>
              <w14:schemeClr w14:val="bg1"/>
            </w14:solidFill>
          </w14:textFill>
        </w:rPr>
        <mc:AlternateContent>
          <mc:Choice Requires="wps">
            <w:drawing>
              <wp:anchor distT="0" distB="0" distL="114300" distR="114300" simplePos="0" relativeHeight="251684864" behindDoc="0" locked="0" layoutInCell="1" allowOverlap="1">
                <wp:simplePos x="0" y="0"/>
                <wp:positionH relativeFrom="column">
                  <wp:posOffset>-441960</wp:posOffset>
                </wp:positionH>
                <wp:positionV relativeFrom="paragraph">
                  <wp:posOffset>102870</wp:posOffset>
                </wp:positionV>
                <wp:extent cx="809625" cy="2071370"/>
                <wp:effectExtent l="0" t="0" r="28575" b="24130"/>
                <wp:wrapNone/>
                <wp:docPr id="642552972" name="Rectangle 10"/>
                <wp:cNvGraphicFramePr/>
                <a:graphic xmlns:a="http://schemas.openxmlformats.org/drawingml/2006/main">
                  <a:graphicData uri="http://schemas.microsoft.com/office/word/2010/wordprocessingShape">
                    <wps:wsp>
                      <wps:cNvSpPr/>
                      <wps:spPr>
                        <a:xfrm>
                          <a:off x="0" y="0"/>
                          <a:ext cx="809625" cy="2071370"/>
                        </a:xfrm>
                        <a:prstGeom prst="rect">
                          <a:avLst/>
                        </a:prstGeom>
                        <a:solidFill>
                          <a:srgbClr val="FFFFFF"/>
                        </a:solidFill>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10" o:spid="_x0000_s1026" o:spt="1" style="position:absolute;left:0pt;margin-left:-34.8pt;margin-top:8.1pt;height:163.1pt;width:63.75pt;z-index:251684864;v-text-anchor:middle;mso-width-relative:page;mso-height-relative:page;" fillcolor="#FFFFFF" filled="t" stroked="t" coordsize="21600,21600" o:gfxdata="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8hI8bZAAAACQEAAA8AAAAAAAAAAQAgAAAAIgAAAGRycy9kb3ducmV2LnhtbFBLAQIUABQAAAAI&#10;AIdO4kA92ymlXgIAAOYEAAAOAAAAAAAAAAEAIAAAACgBAABkcnMvZTJvRG9jLnhtbFBLBQYAAAAA&#10;BgAGAFkBAAD4BQAAAAA=&#10;">
                <v:fill on="t" focussize="0,0"/>
                <v:stroke weight="1pt" color="#FFFFFF [3212]" miterlimit="8" joinstyle="miter"/>
                <v:imagedata o:title=""/>
                <o:lock v:ext="edit" aspectratio="f"/>
              </v:rect>
            </w:pict>
          </mc:Fallback>
        </mc:AlternateContent>
      </w: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Tahoma" w:hAnsi="Tahoma" w:eastAsia="Times New Roman" w:cs="Tahoma"/>
          <w:color w:val="000000" w:themeColor="text1"/>
          <w:sz w:val="14"/>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i/>
          <w:color w:val="000000" w:themeColor="text1"/>
          <w:sz w:val="24"/>
          <w:szCs w:val="24"/>
          <w14:textFill>
            <w14:solidFill>
              <w14:schemeClr w14:val="tx1"/>
            </w14:solidFill>
          </w14:textFill>
        </w:rPr>
        <w:sectPr>
          <w:headerReference r:id="rId18" w:type="first"/>
          <w:headerReference r:id="rId16" w:type="default"/>
          <w:footerReference r:id="rId19" w:type="default"/>
          <w:headerReference r:id="rId17" w:type="even"/>
          <w:pgSz w:w="20160" w:h="12240" w:orient="landscape"/>
          <w:pgMar w:top="1134" w:right="2098" w:bottom="1701" w:left="3261" w:header="720" w:footer="1100" w:gutter="0"/>
          <w:cols w:space="720" w:num="1"/>
        </w:sectPr>
      </w:pPr>
      <w:r>
        <w:rPr>
          <w:rFonts w:ascii="Bookman Old Style" w:hAnsi="Bookman Old Style" w:eastAsia="Times New Roman" w:cs="Tahoma"/>
          <w:i/>
          <w:color w:val="000000" w:themeColor="text1"/>
          <w:sz w:val="24"/>
          <w:szCs w:val="24"/>
          <w14:textFill>
            <w14:solidFill>
              <w14:schemeClr w14:val="tx1"/>
            </w14:solidFill>
          </w14:textFill>
        </w:rPr>
        <w:t>( Sesuai Peraturan Daerah Kabupaten Kepulauan Selayar Nomor 4 Tahun 2023)</w:t>
      </w: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numPr>
          <w:ilvl w:val="1"/>
          <w:numId w:val="8"/>
        </w:numPr>
        <w:tabs>
          <w:tab w:val="left" w:pos="709"/>
        </w:tabs>
        <w:spacing w:after="0" w:line="360" w:lineRule="auto"/>
        <w:ind w:left="709" w:hanging="709"/>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Sumber Daya</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b/>
          <w:color w:val="000000" w:themeColor="text1"/>
          <w:sz w:val="24"/>
          <w:szCs w:val="24"/>
          <w14:textFill>
            <w14:solidFill>
              <w14:schemeClr w14:val="tx1"/>
            </w14:solidFill>
          </w14:textFill>
        </w:rPr>
        <w:t>Dinas Perdagangan, Koperasi dan Usaha Kecil dan Menengah</w:t>
      </w: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Kinerja suatu organisasi sangat dipengaruhi oleh dukungan sumber daya yang dimilikinya. Pelaksanaan Kinerja Dinas Perdagangan, Koperasi dan Usaha Kecil dan Menengah Kabupaten Kepulauan Selayar didukung dengan keberadaan SDM dan Aset/Modal yang ada.</w:t>
      </w:r>
    </w:p>
    <w:p>
      <w:pPr>
        <w:numPr>
          <w:ilvl w:val="2"/>
          <w:numId w:val="8"/>
        </w:numPr>
        <w:tabs>
          <w:tab w:val="left" w:pos="567"/>
          <w:tab w:val="left" w:pos="851"/>
        </w:tabs>
        <w:autoSpaceDE w:val="0"/>
        <w:autoSpaceDN w:val="0"/>
        <w:adjustRightInd w:val="0"/>
        <w:spacing w:before="240" w:after="0" w:line="360" w:lineRule="auto"/>
        <w:ind w:left="1701" w:hanging="992"/>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Sumber Daya Manusia</w:t>
      </w:r>
    </w:p>
    <w:p>
      <w:pPr>
        <w:tabs>
          <w:tab w:val="left" w:pos="1701"/>
          <w:tab w:val="left" w:pos="1985"/>
        </w:tabs>
        <w:autoSpaceDE w:val="0"/>
        <w:autoSpaceDN w:val="0"/>
        <w:adjustRightInd w:val="0"/>
        <w:spacing w:after="0" w:line="360" w:lineRule="auto"/>
        <w:ind w:left="1701" w:firstLine="85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Untuk melaksanakan tugas pokok dan fungsi Dinas </w:t>
      </w:r>
      <w:r>
        <w:rPr>
          <w:rFonts w:ascii="Bookman Old Style" w:hAnsi="Bookman Old Style" w:eastAsia="Times New Roman" w:cs="Tahoma"/>
          <w:bCs/>
          <w:color w:val="000000" w:themeColor="text1"/>
          <w:sz w:val="24"/>
          <w:szCs w:val="24"/>
          <w14:textFill>
            <w14:solidFill>
              <w14:schemeClr w14:val="tx1"/>
            </w14:solidFill>
          </w14:textFill>
        </w:rPr>
        <w:t xml:space="preserve">Perdagangan, Koperasi, Usaha Kecil dan Menengah </w:t>
      </w:r>
      <w:r>
        <w:rPr>
          <w:rFonts w:ascii="Bookman Old Style" w:hAnsi="Bookman Old Style" w:eastAsia="Times New Roman" w:cs="Tahoma"/>
          <w:color w:val="000000" w:themeColor="text1"/>
          <w:sz w:val="24"/>
          <w:szCs w:val="24"/>
          <w14:textFill>
            <w14:solidFill>
              <w14:schemeClr w14:val="tx1"/>
            </w14:solidFill>
          </w14:textFill>
        </w:rPr>
        <w:t>Kabupaten Kepulauan Selayar sampai dengan bulan Desember Tahun 2023 didukung  oleh  74 (Tujuh Puluh Empat) orang Pegawai, terdiri dari 28 (Dua Puluh Delapan) orang Pegawai Negeri Sipil, 46 (empat puluh enam) orang Pekerja Harian Lepas (PHL)</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Sumber daya manusia yang dimiliki </w:t>
      </w:r>
      <w:r>
        <w:rPr>
          <w:rFonts w:ascii="Bookman Old Style" w:hAnsi="Bookman Old Style" w:eastAsia="Times New Roman" w:cs="Tahoma"/>
          <w:color w:val="000000" w:themeColor="text1"/>
          <w:sz w:val="24"/>
          <w:szCs w:val="24"/>
          <w14:textFill>
            <w14:solidFill>
              <w14:schemeClr w14:val="tx1"/>
            </w14:solidFill>
          </w14:textFill>
        </w:rPr>
        <w:t>Dinas Perdagangan, Koperasi dan Usaha Kecil dan Menengah</w:t>
      </w:r>
      <w:r>
        <w:rPr>
          <w:rFonts w:ascii="Bookman Old Style" w:hAnsi="Bookman Old Style" w:eastAsia="Times New Roman" w:cs="Tahoma"/>
          <w:color w:val="000000" w:themeColor="text1"/>
          <w:sz w:val="24"/>
          <w:szCs w:val="24"/>
          <w:lang w:val="en-GB"/>
          <w14:textFill>
            <w14:solidFill>
              <w14:schemeClr w14:val="tx1"/>
            </w14:solidFill>
          </w14:textFill>
        </w:rPr>
        <w:t xml:space="preserve"> Kabupaten Kepulauan Selayar, </w:t>
      </w:r>
      <w:r>
        <w:rPr>
          <w:rFonts w:ascii="Bookman Old Style" w:hAnsi="Bookman Old Style" w:eastAsia="Times New Roman" w:cs="Tahoma"/>
          <w:color w:val="000000" w:themeColor="text1"/>
          <w:sz w:val="24"/>
          <w:szCs w:val="24"/>
          <w:lang w:val="id-ID"/>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 xml:space="preserve">ntuk lebih jelas </w:t>
      </w:r>
      <w:r>
        <w:rPr>
          <w:rFonts w:ascii="Bookman Old Style" w:hAnsi="Bookman Old Style" w:eastAsia="Times New Roman" w:cs="Tahoma"/>
          <w:color w:val="000000" w:themeColor="text1"/>
          <w:sz w:val="24"/>
          <w:szCs w:val="24"/>
          <w:lang w:val="id-ID"/>
          <w14:textFill>
            <w14:solidFill>
              <w14:schemeClr w14:val="tx1"/>
            </w14:solidFill>
          </w14:textFill>
        </w:rPr>
        <w:t>dapat dilihat pada gambar 2.</w:t>
      </w:r>
      <w:r>
        <w:rPr>
          <w:rFonts w:ascii="Bookman Old Style" w:hAnsi="Bookman Old Style" w:eastAsia="Times New Roman" w:cs="Tahoma"/>
          <w:color w:val="000000" w:themeColor="text1"/>
          <w:sz w:val="24"/>
          <w:szCs w:val="24"/>
          <w:lang w:val="en-GB"/>
          <w14:textFill>
            <w14:solidFill>
              <w14:schemeClr w14:val="tx1"/>
            </w14:solidFill>
          </w14:textFill>
        </w:rPr>
        <w:t>2.</w:t>
      </w:r>
      <w:r>
        <w:rPr>
          <w:rFonts w:ascii="Bookman Old Style" w:hAnsi="Bookman Old Style" w:eastAsia="Times New Roman" w:cs="Tahoma"/>
          <w:color w:val="000000" w:themeColor="text1"/>
          <w:sz w:val="24"/>
          <w:szCs w:val="24"/>
          <w:lang w:val="id-ID"/>
          <w14:textFill>
            <w14:solidFill>
              <w14:schemeClr w14:val="tx1"/>
            </w14:solidFill>
          </w14:textFill>
        </w:rPr>
        <w:t>1</w:t>
      </w:r>
      <w:r>
        <w:rPr>
          <w:rFonts w:ascii="Bookman Old Style" w:hAnsi="Bookman Old Style" w:eastAsia="Times New Roman" w:cs="Tahoma"/>
          <w:color w:val="000000" w:themeColor="text1"/>
          <w:sz w:val="24"/>
          <w:szCs w:val="24"/>
          <w14:textFill>
            <w14:solidFill>
              <w14:schemeClr w14:val="tx1"/>
            </w14:solidFill>
          </w14:textFill>
        </w:rPr>
        <w:t>.1</w:t>
      </w:r>
      <w:r>
        <w:rPr>
          <w:rFonts w:ascii="Bookman Old Style" w:hAnsi="Bookman Old Style" w:eastAsia="Times New Roman" w:cs="Tahoma"/>
          <w:color w:val="000000" w:themeColor="text1"/>
          <w:sz w:val="24"/>
          <w:szCs w:val="24"/>
          <w:lang w:val="id-ID"/>
          <w14:textFill>
            <w14:solidFill>
              <w14:schemeClr w14:val="tx1"/>
            </w14:solidFill>
          </w14:textFill>
        </w:rPr>
        <w:t xml:space="preserve"> untuk data pegawai berdasar golongan, Tabel 2.</w:t>
      </w:r>
      <w:r>
        <w:rPr>
          <w:rFonts w:ascii="Bookman Old Style" w:hAnsi="Bookman Old Style" w:eastAsia="Times New Roman" w:cs="Tahoma"/>
          <w:color w:val="000000" w:themeColor="text1"/>
          <w:sz w:val="24"/>
          <w:szCs w:val="24"/>
          <w:lang w:val="en-GB"/>
          <w14:textFill>
            <w14:solidFill>
              <w14:schemeClr w14:val="tx1"/>
            </w14:solidFill>
          </w14:textFill>
        </w:rPr>
        <w:t>2.1.2</w:t>
      </w:r>
      <w:r>
        <w:rPr>
          <w:rFonts w:ascii="Bookman Old Style" w:hAnsi="Bookman Old Style" w:eastAsia="Times New Roman" w:cs="Tahoma"/>
          <w:color w:val="000000" w:themeColor="text1"/>
          <w:sz w:val="24"/>
          <w:szCs w:val="24"/>
          <w:lang w:val="id-ID"/>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 xml:space="preserve"> data pegawai berdasarkan tingkat pendidikan</w:t>
      </w:r>
      <w:r>
        <w:rPr>
          <w:rFonts w:ascii="Bookman Old Style" w:hAnsi="Bookman Old Style" w:eastAsia="Times New Roman" w:cs="Tahoma"/>
          <w:color w:val="000000" w:themeColor="text1"/>
          <w:sz w:val="24"/>
          <w:szCs w:val="24"/>
          <w:lang w:val="id-ID"/>
          <w14:textFill>
            <w14:solidFill>
              <w14:schemeClr w14:val="tx1"/>
            </w14:solidFill>
          </w14:textFill>
        </w:rPr>
        <w:t>, Tabel 2.</w:t>
      </w:r>
      <w:r>
        <w:rPr>
          <w:rFonts w:ascii="Bookman Old Style" w:hAnsi="Bookman Old Style" w:eastAsia="Times New Roman" w:cs="Tahoma"/>
          <w:color w:val="000000" w:themeColor="text1"/>
          <w:sz w:val="24"/>
          <w:szCs w:val="24"/>
          <w:lang w:val="en-GB"/>
          <w14:textFill>
            <w14:solidFill>
              <w14:schemeClr w14:val="tx1"/>
            </w14:solidFill>
          </w14:textFill>
        </w:rPr>
        <w:t>2.1.3</w:t>
      </w:r>
      <w:r>
        <w:rPr>
          <w:rFonts w:ascii="Bookman Old Style" w:hAnsi="Bookman Old Style" w:eastAsia="Times New Roman" w:cs="Tahoma"/>
          <w:color w:val="000000" w:themeColor="text1"/>
          <w:sz w:val="24"/>
          <w:szCs w:val="24"/>
          <w:lang w:val="id-ID"/>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data pegawai berdasarkan diklat/penjenjangan :</w:t>
      </w:r>
    </w:p>
    <w:p>
      <w:pPr>
        <w:tabs>
          <w:tab w:val="left" w:pos="1701"/>
          <w:tab w:val="left" w:pos="1985"/>
        </w:tabs>
        <w:autoSpaceDE w:val="0"/>
        <w:autoSpaceDN w:val="0"/>
        <w:adjustRightInd w:val="0"/>
        <w:spacing w:after="0" w:line="360" w:lineRule="auto"/>
        <w:ind w:left="1701" w:firstLine="851"/>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Gambar 2.</w:t>
      </w:r>
      <w:r>
        <w:rPr>
          <w:rFonts w:ascii="Bookman Old Style" w:hAnsi="Bookman Old Style" w:eastAsia="Times New Roman" w:cs="Tahoma"/>
          <w:color w:val="000000" w:themeColor="text1"/>
          <w:sz w:val="24"/>
          <w:szCs w:val="24"/>
          <w:lang w:val="en-GB"/>
          <w14:textFill>
            <w14:solidFill>
              <w14:schemeClr w14:val="tx1"/>
            </w14:solidFill>
          </w14:textFill>
        </w:rPr>
        <w:t>2.</w:t>
      </w:r>
      <w:r>
        <w:rPr>
          <w:rFonts w:ascii="Bookman Old Style" w:hAnsi="Bookman Old Style" w:eastAsia="Times New Roman" w:cs="Tahoma"/>
          <w:color w:val="000000" w:themeColor="text1"/>
          <w:sz w:val="24"/>
          <w:szCs w:val="24"/>
          <w:lang w:val="id-ID"/>
          <w14:textFill>
            <w14:solidFill>
              <w14:schemeClr w14:val="tx1"/>
            </w14:solidFill>
          </w14:textFill>
        </w:rPr>
        <w:t>1</w:t>
      </w:r>
      <w:r>
        <w:rPr>
          <w:rFonts w:ascii="Bookman Old Style" w:hAnsi="Bookman Old Style" w:eastAsia="Times New Roman" w:cs="Tahoma"/>
          <w:color w:val="000000" w:themeColor="text1"/>
          <w:sz w:val="24"/>
          <w:szCs w:val="24"/>
          <w14:textFill>
            <w14:solidFill>
              <w14:schemeClr w14:val="tx1"/>
            </w14:solidFill>
          </w14:textFill>
        </w:rPr>
        <w:t>.1</w:t>
      </w:r>
      <w:r>
        <w:rPr>
          <w:rFonts w:ascii="Bookman Old Style" w:hAnsi="Bookman Old Style" w:eastAsia="Times New Roman" w:cs="Tahoma"/>
          <w:color w:val="000000" w:themeColor="text1"/>
          <w:sz w:val="24"/>
          <w:szCs w:val="24"/>
          <w:lang w:val="id-ID"/>
          <w14:textFill>
            <w14:solidFill>
              <w14:schemeClr w14:val="tx1"/>
            </w14:solidFill>
          </w14:textFill>
        </w:rPr>
        <w:t xml:space="preserve"> </w:t>
      </w:r>
    </w:p>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Grafik Pegaw</w:t>
      </w:r>
      <w:r>
        <w:rPr>
          <w:rFonts w:ascii="Bookman Old Style" w:hAnsi="Bookman Old Style" w:eastAsia="Times New Roman" w:cs="Tahoma"/>
          <w:color w:val="000000" w:themeColor="text1"/>
          <w:sz w:val="24"/>
          <w:szCs w:val="24"/>
          <w:lang w:val="en-GB"/>
          <w14:textFill>
            <w14:solidFill>
              <w14:schemeClr w14:val="tx1"/>
            </w14:solidFill>
          </w14:textFill>
        </w:rPr>
        <w:t>a</w:t>
      </w:r>
      <w:r>
        <w:rPr>
          <w:rFonts w:ascii="Bookman Old Style" w:hAnsi="Bookman Old Style" w:eastAsia="Times New Roman" w:cs="Tahoma"/>
          <w:color w:val="000000" w:themeColor="text1"/>
          <w:sz w:val="24"/>
          <w:szCs w:val="24"/>
          <w:lang w:val="id-ID"/>
          <w14:textFill>
            <w14:solidFill>
              <w14:schemeClr w14:val="tx1"/>
            </w14:solidFill>
          </w14:textFill>
        </w:rPr>
        <w:t xml:space="preserve">i </w:t>
      </w:r>
      <w:r>
        <w:rPr>
          <w:rFonts w:ascii="Bookman Old Style" w:hAnsi="Bookman Old Style" w:eastAsia="Times New Roman" w:cs="Tahoma"/>
          <w:color w:val="000000" w:themeColor="text1"/>
          <w:sz w:val="24"/>
          <w:szCs w:val="24"/>
          <w14:textFill>
            <w14:solidFill>
              <w14:schemeClr w14:val="tx1"/>
            </w14:solidFill>
          </w14:textFill>
        </w:rPr>
        <w:t>Disdag KUKM</w:t>
      </w:r>
      <w:r>
        <w:rPr>
          <w:rFonts w:ascii="Bookman Old Style" w:hAnsi="Bookman Old Style" w:eastAsia="Times New Roman" w:cs="Tahoma"/>
          <w:color w:val="000000" w:themeColor="text1"/>
          <w:sz w:val="24"/>
          <w:szCs w:val="24"/>
          <w:lang w:val="en-GB"/>
          <w14:textFill>
            <w14:solidFill>
              <w14:schemeClr w14:val="tx1"/>
            </w14:solidFill>
          </w14:textFill>
        </w:rPr>
        <w:t xml:space="preserve"> Kabupaten Kepulauan Selayar </w:t>
      </w:r>
      <w:r>
        <w:rPr>
          <w:rFonts w:ascii="Bookman Old Style" w:hAnsi="Bookman Old Style" w:eastAsia="Times New Roman" w:cs="Tahoma"/>
          <w:color w:val="000000" w:themeColor="text1"/>
          <w:sz w:val="24"/>
          <w:szCs w:val="24"/>
          <w:lang w:val="id-ID"/>
          <w14:textFill>
            <w14:solidFill>
              <w14:schemeClr w14:val="tx1"/>
            </w14:solidFill>
          </w14:textFill>
        </w:rPr>
        <w:t>Berdasarkan Golongan Ruang</w:t>
      </w:r>
    </w:p>
    <w:p>
      <w:pPr>
        <w:spacing w:after="0" w:line="240" w:lineRule="auto"/>
        <w:rPr>
          <w:rFonts w:ascii="Bookman Old Style" w:hAnsi="Bookman Old Style" w:eastAsia="Times New Roman" w:cs="Tahoma"/>
          <w:sz w:val="24"/>
          <w:szCs w:val="24"/>
        </w:rPr>
      </w:pPr>
      <w:r>
        <w:rPr>
          <w:rFonts w:ascii="Bookman Old Style" w:hAnsi="Bookman Old Style" w:eastAsia="Times New Roman" w:cs="Tahoma"/>
          <w:sz w:val="24"/>
          <w:szCs w:val="24"/>
        </w:rPr>
        <w:tab/>
      </w:r>
    </w:p>
    <w:p>
      <w:pPr>
        <w:spacing w:after="0" w:line="240" w:lineRule="auto"/>
        <w:rPr>
          <w:rFonts w:ascii="Bookman Old Style" w:hAnsi="Bookman Old Style" w:eastAsia="Times New Roman" w:cs="Tahoma"/>
          <w:sz w:val="24"/>
          <w:szCs w:val="24"/>
          <w:lang w:val="id-ID"/>
        </w:rPr>
      </w:pPr>
      <w:r>
        <w:rPr>
          <w:rFonts w:ascii="Bookman Old Style" w:hAnsi="Bookman Old Style" w:cs="Tahoma"/>
          <w:szCs w:val="24"/>
        </w:rPr>
        <w:drawing>
          <wp:anchor distT="0" distB="0" distL="114300" distR="114300" simplePos="0" relativeHeight="251686912" behindDoc="0" locked="0" layoutInCell="1" allowOverlap="1">
            <wp:simplePos x="0" y="0"/>
            <wp:positionH relativeFrom="column">
              <wp:posOffset>-1270</wp:posOffset>
            </wp:positionH>
            <wp:positionV relativeFrom="paragraph">
              <wp:posOffset>-1905</wp:posOffset>
            </wp:positionV>
            <wp:extent cx="5486400" cy="3200400"/>
            <wp:effectExtent l="0" t="0" r="19050" b="19050"/>
            <wp:wrapNone/>
            <wp:docPr id="97257124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spacing w:after="0" w:line="240" w:lineRule="auto"/>
        <w:rPr>
          <w:rFonts w:ascii="Bookman Old Style" w:hAnsi="Bookman Old Style" w:eastAsia="Times New Roman" w:cs="Tahoma"/>
          <w:sz w:val="24"/>
          <w:szCs w:val="24"/>
        </w:rPr>
      </w:pPr>
    </w:p>
    <w:p>
      <w:pPr>
        <w:tabs>
          <w:tab w:val="left" w:pos="8436"/>
        </w:tabs>
        <w:spacing w:after="0" w:line="240" w:lineRule="auto"/>
        <w:rPr>
          <w:rFonts w:ascii="Bookman Old Style" w:hAnsi="Bookman Old Style" w:eastAsia="Times New Roman" w:cs="Tahoma"/>
          <w:sz w:val="24"/>
          <w:szCs w:val="24"/>
        </w:rPr>
      </w:pPr>
    </w:p>
    <w:p>
      <w:pPr>
        <w:tabs>
          <w:tab w:val="left" w:pos="1276"/>
        </w:tabs>
        <w:autoSpaceDE w:val="0"/>
        <w:autoSpaceDN w:val="0"/>
        <w:adjustRightInd w:val="0"/>
        <w:spacing w:before="240" w:line="240" w:lineRule="auto"/>
        <w:ind w:left="851"/>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Tabel 2</w:t>
      </w:r>
      <w:r>
        <w:rPr>
          <w:rFonts w:ascii="Bookman Old Style" w:hAnsi="Bookman Old Style" w:eastAsia="Times New Roman" w:cs="Tahoma"/>
          <w:color w:val="000000" w:themeColor="text1"/>
          <w:sz w:val="24"/>
          <w:szCs w:val="24"/>
          <w:lang w:val="en-GB"/>
          <w14:textFill>
            <w14:solidFill>
              <w14:schemeClr w14:val="tx1"/>
            </w14:solidFill>
          </w14:textFill>
        </w:rPr>
        <w:t>.2</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lang w:val="en-GB"/>
          <w14:textFill>
            <w14:solidFill>
              <w14:schemeClr w14:val="tx1"/>
            </w14:solidFill>
          </w14:textFill>
        </w:rPr>
        <w:t>1.2</w:t>
      </w:r>
      <w:r>
        <w:rPr>
          <w:rFonts w:ascii="Bookman Old Style" w:hAnsi="Bookman Old Style" w:eastAsia="Times New Roman" w:cs="Tahoma"/>
          <w:color w:val="000000" w:themeColor="text1"/>
          <w:sz w:val="24"/>
          <w:szCs w:val="24"/>
          <w:lang w:val="id-ID"/>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276"/>
        </w:tabs>
        <w:autoSpaceDE w:val="0"/>
        <w:autoSpaceDN w:val="0"/>
        <w:adjustRightInd w:val="0"/>
        <w:spacing w:after="0" w:line="240" w:lineRule="auto"/>
        <w:ind w:left="851"/>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Data Pegawai Berdasarkan Tingkat Pendidikan</w:t>
      </w:r>
    </w:p>
    <w:p>
      <w:pPr>
        <w:tabs>
          <w:tab w:val="left" w:pos="1276"/>
        </w:tabs>
        <w:autoSpaceDE w:val="0"/>
        <w:autoSpaceDN w:val="0"/>
        <w:adjustRightInd w:val="0"/>
        <w:spacing w:after="0" w:line="240" w:lineRule="auto"/>
        <w:ind w:left="851"/>
        <w:contextualSpacing/>
        <w:jc w:val="center"/>
        <w:rPr>
          <w:rFonts w:ascii="Bookman Old Style" w:hAnsi="Bookman Old Style" w:eastAsia="Times New Roman" w:cs="Tahoma"/>
          <w:color w:val="000000" w:themeColor="text1"/>
          <w:sz w:val="24"/>
          <w:szCs w:val="24"/>
          <w14:textFill>
            <w14:solidFill>
              <w14:schemeClr w14:val="tx1"/>
            </w14:solidFill>
          </w14:textFill>
        </w:rPr>
      </w:pPr>
    </w:p>
    <w:tbl>
      <w:tblPr>
        <w:tblStyle w:val="4"/>
        <w:tblpPr w:leftFromText="180" w:rightFromText="180" w:vertAnchor="text" w:horzAnchor="margin" w:tblpX="1975" w:tblpY="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1276"/>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id-ID"/>
              </w:rPr>
            </w:pPr>
          </w:p>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No</w:t>
            </w:r>
          </w:p>
        </w:tc>
        <w:tc>
          <w:tcPr>
            <w:tcW w:w="2126"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en-GB"/>
              </w:rPr>
            </w:pPr>
          </w:p>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en-GB"/>
              </w:rPr>
              <w:t>Pendidikan</w:t>
            </w:r>
          </w:p>
        </w:tc>
        <w:tc>
          <w:tcPr>
            <w:tcW w:w="2552" w:type="dxa"/>
            <w:gridSpan w:val="2"/>
          </w:tcPr>
          <w:p>
            <w:pPr>
              <w:tabs>
                <w:tab w:val="left" w:pos="1276"/>
              </w:tabs>
              <w:autoSpaceDE w:val="0"/>
              <w:autoSpaceDN w:val="0"/>
              <w:adjustRightInd w:val="0"/>
              <w:spacing w:after="0" w:line="240" w:lineRule="auto"/>
              <w:ind w:left="-108"/>
              <w:rPr>
                <w:rFonts w:ascii="Bookman Old Style" w:hAnsi="Bookman Old Style" w:eastAsia="Times New Roman" w:cs="Tahoma"/>
                <w:b/>
                <w:bCs/>
                <w:sz w:val="24"/>
                <w:szCs w:val="20"/>
                <w:lang w:val="id-ID" w:eastAsia="id-ID"/>
              </w:rPr>
            </w:pPr>
          </w:p>
          <w:p>
            <w:pPr>
              <w:tabs>
                <w:tab w:val="left" w:pos="1276"/>
              </w:tabs>
              <w:autoSpaceDE w:val="0"/>
              <w:autoSpaceDN w:val="0"/>
              <w:adjustRightInd w:val="0"/>
              <w:spacing w:after="0" w:line="240" w:lineRule="auto"/>
              <w:ind w:left="-108"/>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 xml:space="preserve">     PNS    </w:t>
            </w:r>
            <w:r>
              <w:rPr>
                <w:rFonts w:ascii="Bookman Old Style" w:hAnsi="Bookman Old Style" w:eastAsia="Times New Roman" w:cs="Tahoma"/>
                <w:sz w:val="24"/>
                <w:szCs w:val="20"/>
                <w:lang w:eastAsia="id-ID"/>
              </w:rPr>
              <w:t xml:space="preserve">     PHL</w:t>
            </w:r>
            <w:r>
              <w:rPr>
                <w:rFonts w:ascii="Bookman Old Style" w:hAnsi="Bookman Old Style" w:eastAsia="Times New Roman" w:cs="Tahoma"/>
                <w:sz w:val="24"/>
                <w:szCs w:val="20"/>
                <w:lang w:val="id-ID" w:eastAsia="id-ID"/>
              </w:rPr>
              <w:t xml:space="preserve">       </w:t>
            </w:r>
          </w:p>
        </w:tc>
        <w:tc>
          <w:tcPr>
            <w:tcW w:w="1417"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en-GB"/>
              </w:rPr>
            </w:pPr>
          </w:p>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en-GB"/>
              </w:rPr>
              <w:t xml:space="preserve"> 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1</w:t>
            </w:r>
          </w:p>
        </w:tc>
        <w:tc>
          <w:tcPr>
            <w:tcW w:w="2126"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S2</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8</w:t>
            </w:r>
            <w:r>
              <w:rPr>
                <w:rFonts w:ascii="Bookman Old Style" w:hAnsi="Bookman Old Style" w:eastAsia="Times New Roman" w:cs="Tahoma"/>
                <w:color w:val="000000" w:themeColor="text1"/>
                <w:sz w:val="24"/>
                <w:szCs w:val="20"/>
                <w:lang w:val="id-ID" w:eastAsia="id-ID"/>
                <w14:textFill>
                  <w14:solidFill>
                    <w14:schemeClr w14:val="tx1"/>
                  </w14:solidFill>
                </w14:textFill>
              </w:rPr>
              <w:t xml:space="preserve">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417"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5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2</w:t>
            </w:r>
          </w:p>
        </w:tc>
        <w:tc>
          <w:tcPr>
            <w:tcW w:w="2126" w:type="dxa"/>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S1</w:t>
            </w:r>
            <w:r>
              <w:rPr>
                <w:rFonts w:ascii="Bookman Old Style" w:hAnsi="Bookman Old Style" w:eastAsia="Times New Roman" w:cs="Tahoma"/>
                <w:color w:val="000000" w:themeColor="text1"/>
                <w:sz w:val="24"/>
                <w:szCs w:val="20"/>
                <w:lang w:eastAsia="id-ID"/>
                <w14:textFill>
                  <w14:solidFill>
                    <w14:schemeClr w14:val="tx1"/>
                  </w14:solidFill>
                </w14:textFill>
              </w:rPr>
              <w:t>/D4</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1</w:t>
            </w:r>
            <w:r>
              <w:rPr>
                <w:rFonts w:ascii="Bookman Old Style" w:hAnsi="Bookman Old Style" w:eastAsia="Times New Roman" w:cs="Tahoma"/>
                <w:color w:val="000000" w:themeColor="text1"/>
                <w:sz w:val="24"/>
                <w:szCs w:val="20"/>
                <w:lang w:val="id-ID" w:eastAsia="id-ID"/>
                <w14:textFill>
                  <w14:solidFill>
                    <w14:schemeClr w14:val="tx1"/>
                  </w14:solidFill>
                </w14:textFill>
              </w:rPr>
              <w:t>4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20</w:t>
            </w:r>
            <w:r>
              <w:rPr>
                <w:rFonts w:ascii="Bookman Old Style" w:hAnsi="Bookman Old Style" w:eastAsia="Times New Roman" w:cs="Tahoma"/>
                <w:color w:val="000000" w:themeColor="text1"/>
                <w:sz w:val="24"/>
                <w:szCs w:val="20"/>
                <w:lang w:val="id-ID" w:eastAsia="id-ID"/>
                <w14:textFill>
                  <w14:solidFill>
                    <w14:schemeClr w14:val="tx1"/>
                  </w14:solidFill>
                </w14:textFill>
              </w:rPr>
              <w:t xml:space="preserve"> Org</w:t>
            </w:r>
          </w:p>
        </w:tc>
        <w:tc>
          <w:tcPr>
            <w:tcW w:w="1417"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34</w:t>
            </w:r>
            <w:r>
              <w:rPr>
                <w:rFonts w:ascii="Bookman Old Style" w:hAnsi="Bookman Old Style" w:eastAsia="Times New Roman" w:cs="Tahoma"/>
                <w:color w:val="000000" w:themeColor="text1"/>
                <w:sz w:val="24"/>
                <w:szCs w:val="20"/>
                <w:lang w:val="id-ID" w:eastAsia="id-ID"/>
                <w14:textFill>
                  <w14:solidFill>
                    <w14:schemeClr w14:val="tx1"/>
                  </w14:solidFill>
                </w14:textFill>
              </w:rPr>
              <w:t xml:space="preserve">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3</w:t>
            </w:r>
          </w:p>
        </w:tc>
        <w:tc>
          <w:tcPr>
            <w:tcW w:w="2126" w:type="dxa"/>
            <w:shd w:val="clear" w:color="auto" w:fill="999999"/>
          </w:tcPr>
          <w:p>
            <w:pPr>
              <w:tabs>
                <w:tab w:val="right" w:pos="1910"/>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D.</w:t>
            </w:r>
            <w:r>
              <w:rPr>
                <w:rFonts w:ascii="Bookman Old Style" w:hAnsi="Bookman Old Style" w:eastAsia="Times New Roman" w:cs="Tahoma"/>
                <w:color w:val="000000" w:themeColor="text1"/>
                <w:sz w:val="24"/>
                <w:szCs w:val="20"/>
                <w:lang w:eastAsia="id-ID"/>
                <w14:textFill>
                  <w14:solidFill>
                    <w14:schemeClr w14:val="tx1"/>
                  </w14:solidFill>
                </w14:textFill>
              </w:rPr>
              <w:t>III</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p>
        </w:tc>
        <w:tc>
          <w:tcPr>
            <w:tcW w:w="1417"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1</w:t>
            </w:r>
            <w:r>
              <w:rPr>
                <w:rFonts w:ascii="Bookman Old Style" w:hAnsi="Bookman Old Style" w:eastAsia="Times New Roman" w:cs="Tahoma"/>
                <w:color w:val="000000" w:themeColor="text1"/>
                <w:sz w:val="24"/>
                <w:szCs w:val="20"/>
                <w:lang w:val="id-ID" w:eastAsia="id-ID"/>
                <w14:textFill>
                  <w14:solidFill>
                    <w14:schemeClr w14:val="tx1"/>
                  </w14:solidFill>
                </w14:textFill>
              </w:rPr>
              <w:t xml:space="preserve">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sz w:val="24"/>
                <w:szCs w:val="20"/>
                <w:lang w:eastAsia="id-ID"/>
              </w:rPr>
            </w:pPr>
            <w:r>
              <w:rPr>
                <w:rFonts w:ascii="Bookman Old Style" w:hAnsi="Bookman Old Style" w:eastAsia="Times New Roman" w:cs="Tahoma"/>
                <w:sz w:val="24"/>
                <w:szCs w:val="20"/>
                <w:lang w:eastAsia="id-ID"/>
              </w:rPr>
              <w:t>4</w:t>
            </w:r>
          </w:p>
        </w:tc>
        <w:tc>
          <w:tcPr>
            <w:tcW w:w="2126"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D II</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3 Org</w:t>
            </w:r>
          </w:p>
        </w:tc>
        <w:tc>
          <w:tcPr>
            <w:tcW w:w="1417"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3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eastAsia="id-ID"/>
              </w:rPr>
            </w:pPr>
            <w:r>
              <w:rPr>
                <w:rFonts w:ascii="Bookman Old Style" w:hAnsi="Bookman Old Style" w:eastAsia="Times New Roman" w:cs="Tahoma"/>
                <w:sz w:val="24"/>
                <w:szCs w:val="20"/>
                <w:lang w:eastAsia="id-ID"/>
              </w:rPr>
              <w:t>5</w:t>
            </w:r>
          </w:p>
        </w:tc>
        <w:tc>
          <w:tcPr>
            <w:tcW w:w="2126" w:type="dxa"/>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SMA</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8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 xml:space="preserve">23 </w:t>
            </w:r>
            <w:r>
              <w:rPr>
                <w:rFonts w:ascii="Bookman Old Style" w:hAnsi="Bookman Old Style" w:eastAsia="Times New Roman" w:cs="Tahoma"/>
                <w:color w:val="000000" w:themeColor="text1"/>
                <w:sz w:val="24"/>
                <w:szCs w:val="20"/>
                <w:lang w:val="id-ID" w:eastAsia="id-ID"/>
                <w14:textFill>
                  <w14:solidFill>
                    <w14:schemeClr w14:val="tx1"/>
                  </w14:solidFill>
                </w14:textFill>
              </w:rPr>
              <w:t>Org</w:t>
            </w:r>
          </w:p>
        </w:tc>
        <w:tc>
          <w:tcPr>
            <w:tcW w:w="1417"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eastAsia="id-ID"/>
                <w14:textFill>
                  <w14:solidFill>
                    <w14:schemeClr w14:val="tx1"/>
                  </w14:solidFill>
                </w14:textFill>
              </w:rPr>
              <w:t>31</w:t>
            </w:r>
            <w:r>
              <w:rPr>
                <w:rFonts w:ascii="Bookman Old Style" w:hAnsi="Bookman Old Style" w:eastAsia="Times New Roman" w:cs="Tahoma"/>
                <w:color w:val="000000" w:themeColor="text1"/>
                <w:sz w:val="24"/>
                <w:szCs w:val="20"/>
                <w:lang w:val="id-ID" w:eastAsia="id-ID"/>
                <w14:textFill>
                  <w14:solidFill>
                    <w14:schemeClr w14:val="tx1"/>
                  </w14:solidFill>
                </w14:textFill>
              </w:rPr>
              <w:t xml:space="preserve">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id-ID"/>
              </w:rPr>
            </w:pPr>
          </w:p>
        </w:tc>
        <w:tc>
          <w:tcPr>
            <w:tcW w:w="212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Total</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eastAsia="id-ID"/>
                <w14:textFill>
                  <w14:solidFill>
                    <w14:schemeClr w14:val="tx1"/>
                  </w14:solidFill>
                </w14:textFill>
              </w:rPr>
              <w:t>28</w:t>
            </w:r>
            <w:r>
              <w:rPr>
                <w:rFonts w:ascii="Bookman Old Style" w:hAnsi="Bookman Old Style" w:eastAsia="Times New Roman" w:cs="Tahoma"/>
                <w:b/>
                <w:color w:val="000000" w:themeColor="text1"/>
                <w:sz w:val="24"/>
                <w:szCs w:val="20"/>
                <w:lang w:val="id-ID" w:eastAsia="id-ID"/>
                <w14:textFill>
                  <w14:solidFill>
                    <w14:schemeClr w14:val="tx1"/>
                  </w14:solidFill>
                </w14:textFill>
              </w:rPr>
              <w:t xml:space="preserve">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eastAsia="id-ID"/>
                <w14:textFill>
                  <w14:solidFill>
                    <w14:schemeClr w14:val="tx1"/>
                  </w14:solidFill>
                </w14:textFill>
              </w:rPr>
              <w:t>46</w:t>
            </w:r>
            <w:r>
              <w:rPr>
                <w:rFonts w:ascii="Bookman Old Style" w:hAnsi="Bookman Old Style" w:eastAsia="Times New Roman" w:cs="Tahoma"/>
                <w:b/>
                <w:color w:val="000000" w:themeColor="text1"/>
                <w:sz w:val="24"/>
                <w:szCs w:val="20"/>
                <w:lang w:val="id-ID" w:eastAsia="id-ID"/>
                <w14:textFill>
                  <w14:solidFill>
                    <w14:schemeClr w14:val="tx1"/>
                  </w14:solidFill>
                </w14:textFill>
              </w:rPr>
              <w:t xml:space="preserve"> Org</w:t>
            </w:r>
          </w:p>
        </w:tc>
        <w:tc>
          <w:tcPr>
            <w:tcW w:w="1417" w:type="dxa"/>
            <w:shd w:val="clear" w:color="auto" w:fill="999999"/>
          </w:tcPr>
          <w:p>
            <w:pPr>
              <w:tabs>
                <w:tab w:val="left" w:pos="1276"/>
              </w:tabs>
              <w:autoSpaceDE w:val="0"/>
              <w:autoSpaceDN w:val="0"/>
              <w:adjustRightInd w:val="0"/>
              <w:spacing w:after="0" w:line="240" w:lineRule="auto"/>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 xml:space="preserve"> </w:t>
            </w:r>
            <w:r>
              <w:rPr>
                <w:rFonts w:ascii="Bookman Old Style" w:hAnsi="Bookman Old Style" w:eastAsia="Times New Roman" w:cs="Tahoma"/>
                <w:b/>
                <w:color w:val="000000" w:themeColor="text1"/>
                <w:sz w:val="24"/>
                <w:szCs w:val="20"/>
                <w:lang w:eastAsia="id-ID"/>
                <w14:textFill>
                  <w14:solidFill>
                    <w14:schemeClr w14:val="tx1"/>
                  </w14:solidFill>
                </w14:textFill>
              </w:rPr>
              <w:t>74</w:t>
            </w:r>
            <w:r>
              <w:rPr>
                <w:rFonts w:ascii="Bookman Old Style" w:hAnsi="Bookman Old Style" w:eastAsia="Times New Roman" w:cs="Tahoma"/>
                <w:b/>
                <w:color w:val="000000" w:themeColor="text1"/>
                <w:sz w:val="24"/>
                <w:szCs w:val="20"/>
                <w:lang w:val="id-ID" w:eastAsia="id-ID"/>
                <w14:textFill>
                  <w14:solidFill>
                    <w14:schemeClr w14:val="tx1"/>
                  </w14:solidFill>
                </w14:textFill>
              </w:rPr>
              <w:t xml:space="preserve"> Org</w:t>
            </w:r>
          </w:p>
        </w:tc>
      </w:tr>
    </w:tbl>
    <w:p>
      <w:pPr>
        <w:tabs>
          <w:tab w:val="left" w:pos="1276"/>
        </w:tabs>
        <w:autoSpaceDE w:val="0"/>
        <w:autoSpaceDN w:val="0"/>
        <w:adjustRightInd w:val="0"/>
        <w:spacing w:before="24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360" w:lineRule="auto"/>
        <w:ind w:left="851"/>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360" w:lineRule="auto"/>
        <w:ind w:left="851"/>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360" w:lineRule="auto"/>
        <w:ind w:left="851"/>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5280"/>
        </w:tabs>
        <w:autoSpaceDE w:val="0"/>
        <w:autoSpaceDN w:val="0"/>
        <w:adjustRightInd w:val="0"/>
        <w:spacing w:before="24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6"/>
          <w:szCs w:val="6"/>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Tabel 2</w:t>
      </w:r>
      <w:r>
        <w:rPr>
          <w:rFonts w:ascii="Bookman Old Style" w:hAnsi="Bookman Old Style" w:eastAsia="Times New Roman" w:cs="Tahoma"/>
          <w:color w:val="000000" w:themeColor="text1"/>
          <w:sz w:val="24"/>
          <w:szCs w:val="24"/>
          <w:lang w:val="en-GB"/>
          <w14:textFill>
            <w14:solidFill>
              <w14:schemeClr w14:val="tx1"/>
            </w14:solidFill>
          </w14:textFill>
        </w:rPr>
        <w:t>.2</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1.</w:t>
      </w:r>
      <w:r>
        <w:rPr>
          <w:rFonts w:ascii="Bookman Old Style" w:hAnsi="Bookman Old Style" w:eastAsia="Times New Roman" w:cs="Tahoma"/>
          <w:color w:val="000000" w:themeColor="text1"/>
          <w:sz w:val="24"/>
          <w:szCs w:val="24"/>
          <w:lang w:val="en-GB"/>
          <w14:textFill>
            <w14:solidFill>
              <w14:schemeClr w14:val="tx1"/>
            </w14:solidFill>
          </w14:textFill>
        </w:rPr>
        <w:t>3</w:t>
      </w:r>
    </w:p>
    <w:p>
      <w:pPr>
        <w:tabs>
          <w:tab w:val="left" w:pos="1276"/>
        </w:tabs>
        <w:autoSpaceDE w:val="0"/>
        <w:autoSpaceDN w:val="0"/>
        <w:adjustRightInd w:val="0"/>
        <w:spacing w:after="0" w:line="240" w:lineRule="auto"/>
        <w:ind w:left="851"/>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Data Pegawai Berdasarkan Diklat/Penjenjangan</w:t>
      </w:r>
    </w:p>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16"/>
          <w:szCs w:val="24"/>
          <w14:textFill>
            <w14:solidFill>
              <w14:schemeClr w14:val="tx1"/>
            </w14:solidFill>
          </w14:textFill>
        </w:rPr>
      </w:pPr>
    </w:p>
    <w:tbl>
      <w:tblPr>
        <w:tblStyle w:val="4"/>
        <w:tblpPr w:leftFromText="180" w:rightFromText="180" w:vertAnchor="text" w:horzAnchor="margin" w:tblpX="1271" w:tblpY="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693"/>
        <w:gridCol w:w="1106"/>
        <w:gridCol w:w="1162"/>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id-ID"/>
              </w:rPr>
            </w:pPr>
          </w:p>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No</w:t>
            </w:r>
          </w:p>
        </w:tc>
        <w:tc>
          <w:tcPr>
            <w:tcW w:w="2693"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en-GB"/>
              </w:rPr>
            </w:pPr>
          </w:p>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en-GB"/>
              </w:rPr>
              <w:t>Dinas/Bidang/Seksi</w:t>
            </w:r>
          </w:p>
        </w:tc>
        <w:tc>
          <w:tcPr>
            <w:tcW w:w="3402" w:type="dxa"/>
            <w:gridSpan w:val="3"/>
          </w:tcPr>
          <w:p>
            <w:pPr>
              <w:tabs>
                <w:tab w:val="left" w:pos="1276"/>
              </w:tabs>
              <w:autoSpaceDE w:val="0"/>
              <w:autoSpaceDN w:val="0"/>
              <w:adjustRightInd w:val="0"/>
              <w:spacing w:after="0" w:line="240" w:lineRule="auto"/>
              <w:jc w:val="center"/>
              <w:rPr>
                <w:rFonts w:ascii="Bookman Old Style" w:hAnsi="Bookman Old Style" w:eastAsia="Times New Roman" w:cs="Tahoma"/>
                <w:b/>
                <w:bCs/>
                <w:sz w:val="24"/>
                <w:szCs w:val="20"/>
                <w:lang w:val="id-ID" w:eastAsia="en-GB"/>
              </w:rPr>
            </w:pPr>
            <w:r>
              <w:rPr>
                <w:rFonts w:ascii="Bookman Old Style" w:hAnsi="Bookman Old Style" w:eastAsia="Times New Roman" w:cs="Tahoma"/>
                <w:sz w:val="24"/>
                <w:szCs w:val="20"/>
                <w:lang w:val="id-ID" w:eastAsia="en-GB"/>
              </w:rPr>
              <w:t>Diklat / Penjenjangan</w:t>
            </w:r>
          </w:p>
          <w:p>
            <w:pPr>
              <w:tabs>
                <w:tab w:val="left" w:pos="1276"/>
              </w:tabs>
              <w:autoSpaceDE w:val="0"/>
              <w:autoSpaceDN w:val="0"/>
              <w:adjustRightInd w:val="0"/>
              <w:spacing w:after="0" w:line="240" w:lineRule="auto"/>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id-ID"/>
              </w:rPr>
              <w:t xml:space="preserve">   </w:t>
            </w:r>
            <w:r>
              <w:rPr>
                <w:rFonts w:ascii="Bookman Old Style" w:hAnsi="Bookman Old Style" w:eastAsia="Times New Roman" w:cs="Tahoma"/>
                <w:sz w:val="24"/>
                <w:szCs w:val="20"/>
                <w:lang w:eastAsia="id-ID"/>
              </w:rPr>
              <w:t xml:space="preserve"> </w:t>
            </w:r>
            <w:r>
              <w:rPr>
                <w:rFonts w:ascii="Bookman Old Style" w:hAnsi="Bookman Old Style" w:eastAsia="Times New Roman" w:cs="Tahoma"/>
                <w:sz w:val="24"/>
                <w:szCs w:val="20"/>
                <w:lang w:val="id-ID" w:eastAsia="id-ID"/>
              </w:rPr>
              <w:t>II            III          IV</w:t>
            </w:r>
          </w:p>
        </w:tc>
        <w:tc>
          <w:tcPr>
            <w:tcW w:w="1276" w:type="dxa"/>
          </w:tcPr>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en-GB"/>
              </w:rPr>
            </w:pPr>
          </w:p>
          <w:p>
            <w:pPr>
              <w:tabs>
                <w:tab w:val="left" w:pos="1276"/>
              </w:tabs>
              <w:autoSpaceDE w:val="0"/>
              <w:autoSpaceDN w:val="0"/>
              <w:adjustRightInd w:val="0"/>
              <w:spacing w:after="0" w:line="240" w:lineRule="auto"/>
              <w:jc w:val="both"/>
              <w:rPr>
                <w:rFonts w:ascii="Bookman Old Style" w:hAnsi="Bookman Old Style" w:eastAsia="Times New Roman" w:cs="Tahoma"/>
                <w:b/>
                <w:bCs/>
                <w:sz w:val="24"/>
                <w:szCs w:val="20"/>
                <w:lang w:val="id-ID" w:eastAsia="id-ID"/>
              </w:rPr>
            </w:pPr>
            <w:r>
              <w:rPr>
                <w:rFonts w:ascii="Bookman Old Style" w:hAnsi="Bookman Old Style" w:eastAsia="Times New Roman" w:cs="Tahoma"/>
                <w:sz w:val="24"/>
                <w:szCs w:val="20"/>
                <w:lang w:val="id-ID" w:eastAsia="en-GB"/>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w:t>
            </w:r>
          </w:p>
        </w:tc>
        <w:tc>
          <w:tcPr>
            <w:tcW w:w="2693"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Kepala Dinas</w:t>
            </w:r>
          </w:p>
        </w:tc>
        <w:tc>
          <w:tcPr>
            <w:tcW w:w="110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62"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34"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2</w:t>
            </w:r>
          </w:p>
        </w:tc>
        <w:tc>
          <w:tcPr>
            <w:tcW w:w="2693" w:type="dxa"/>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Sekretaris</w:t>
            </w:r>
          </w:p>
        </w:tc>
        <w:tc>
          <w:tcPr>
            <w:tcW w:w="110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2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3</w:t>
            </w:r>
          </w:p>
        </w:tc>
        <w:tc>
          <w:tcPr>
            <w:tcW w:w="2693"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Perindustrian</w:t>
            </w:r>
          </w:p>
        </w:tc>
        <w:tc>
          <w:tcPr>
            <w:tcW w:w="110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3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4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4</w:t>
            </w:r>
          </w:p>
        </w:tc>
        <w:tc>
          <w:tcPr>
            <w:tcW w:w="2693" w:type="dxa"/>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Perdagangan</w:t>
            </w:r>
          </w:p>
        </w:tc>
        <w:tc>
          <w:tcPr>
            <w:tcW w:w="110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tcPr>
          <w:p>
            <w:pPr>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3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4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5</w:t>
            </w:r>
          </w:p>
        </w:tc>
        <w:tc>
          <w:tcPr>
            <w:tcW w:w="2693"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Koperasi</w:t>
            </w:r>
          </w:p>
        </w:tc>
        <w:tc>
          <w:tcPr>
            <w:tcW w:w="110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shd w:val="clear" w:color="auto" w:fill="999999"/>
          </w:tcPr>
          <w:p>
            <w:pPr>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2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6</w:t>
            </w:r>
          </w:p>
        </w:tc>
        <w:tc>
          <w:tcPr>
            <w:tcW w:w="2693" w:type="dxa"/>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Usaha Kecil Menengah</w:t>
            </w:r>
          </w:p>
        </w:tc>
        <w:tc>
          <w:tcPr>
            <w:tcW w:w="110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tcPr>
          <w:p>
            <w:pPr>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3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4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4" w:type="dxa"/>
          </w:tcPr>
          <w:p>
            <w:pPr>
              <w:tabs>
                <w:tab w:val="left" w:pos="1276"/>
              </w:tabs>
              <w:autoSpaceDE w:val="0"/>
              <w:autoSpaceDN w:val="0"/>
              <w:adjustRightInd w:val="0"/>
              <w:spacing w:after="0" w:line="240" w:lineRule="auto"/>
              <w:jc w:val="center"/>
              <w:rPr>
                <w:rFonts w:ascii="Bookman Old Style" w:hAnsi="Bookman Old Style" w:eastAsia="Times New Roman" w:cs="Tahoma"/>
                <w:b/>
                <w:bCs/>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7</w:t>
            </w:r>
          </w:p>
        </w:tc>
        <w:tc>
          <w:tcPr>
            <w:tcW w:w="2693" w:type="dxa"/>
            <w:shd w:val="clear" w:color="auto" w:fill="999999"/>
          </w:tcPr>
          <w:p>
            <w:pPr>
              <w:tabs>
                <w:tab w:val="left" w:pos="1276"/>
              </w:tabs>
              <w:autoSpaceDE w:val="0"/>
              <w:autoSpaceDN w:val="0"/>
              <w:adjustRightInd w:val="0"/>
              <w:spacing w:after="0" w:line="240" w:lineRule="auto"/>
              <w:jc w:val="both"/>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Kemetrologian</w:t>
            </w:r>
          </w:p>
        </w:tc>
        <w:tc>
          <w:tcPr>
            <w:tcW w:w="110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w:t>
            </w:r>
          </w:p>
        </w:tc>
        <w:tc>
          <w:tcPr>
            <w:tcW w:w="1162"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1 Org</w:t>
            </w:r>
          </w:p>
        </w:tc>
        <w:tc>
          <w:tcPr>
            <w:tcW w:w="1134"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3 Org</w:t>
            </w:r>
          </w:p>
        </w:tc>
        <w:tc>
          <w:tcPr>
            <w:tcW w:w="1276" w:type="dxa"/>
            <w:shd w:val="clear" w:color="auto" w:fill="999999"/>
          </w:tcPr>
          <w:p>
            <w:pPr>
              <w:tabs>
                <w:tab w:val="left" w:pos="1276"/>
              </w:tabs>
              <w:autoSpaceDE w:val="0"/>
              <w:autoSpaceDN w:val="0"/>
              <w:adjustRightInd w:val="0"/>
              <w:spacing w:after="0" w:line="240" w:lineRule="auto"/>
              <w:jc w:val="center"/>
              <w:rPr>
                <w:rFonts w:ascii="Bookman Old Style" w:hAnsi="Bookman Old Style" w:eastAsia="Times New Roman" w:cs="Tahoma"/>
                <w:color w:val="000000" w:themeColor="text1"/>
                <w:sz w:val="24"/>
                <w:szCs w:val="20"/>
                <w:lang w:val="id-ID" w:eastAsia="id-ID"/>
                <w14:textFill>
                  <w14:solidFill>
                    <w14:schemeClr w14:val="tx1"/>
                  </w14:solidFill>
                </w14:textFill>
              </w:rPr>
            </w:pPr>
            <w:r>
              <w:rPr>
                <w:rFonts w:ascii="Bookman Old Style" w:hAnsi="Bookman Old Style" w:eastAsia="Times New Roman" w:cs="Tahoma"/>
                <w:color w:val="000000" w:themeColor="text1"/>
                <w:sz w:val="24"/>
                <w:szCs w:val="20"/>
                <w:lang w:val="id-ID" w:eastAsia="id-ID"/>
                <w14:textFill>
                  <w14:solidFill>
                    <w14:schemeClr w14:val="tx1"/>
                  </w14:solidFill>
                </w14:textFill>
              </w:rPr>
              <w:t>4 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tabs>
                <w:tab w:val="left" w:pos="1276"/>
              </w:tabs>
              <w:autoSpaceDE w:val="0"/>
              <w:autoSpaceDN w:val="0"/>
              <w:adjustRightInd w:val="0"/>
              <w:spacing w:after="0" w:line="240" w:lineRule="auto"/>
              <w:jc w:val="both"/>
              <w:rPr>
                <w:rFonts w:ascii="Bookman Old Style" w:hAnsi="Bookman Old Style" w:eastAsia="Times New Roman" w:cs="Tahoma"/>
                <w:b/>
                <w:bCs/>
                <w:color w:val="000000" w:themeColor="text1"/>
                <w:sz w:val="24"/>
                <w:szCs w:val="20"/>
                <w:lang w:val="id-ID" w:eastAsia="id-ID"/>
                <w14:textFill>
                  <w14:solidFill>
                    <w14:schemeClr w14:val="tx1"/>
                  </w14:solidFill>
                </w14:textFill>
              </w:rPr>
            </w:pPr>
          </w:p>
        </w:tc>
        <w:tc>
          <w:tcPr>
            <w:tcW w:w="2693" w:type="dxa"/>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Total</w:t>
            </w:r>
          </w:p>
        </w:tc>
        <w:tc>
          <w:tcPr>
            <w:tcW w:w="1106" w:type="dxa"/>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1 Org</w:t>
            </w:r>
          </w:p>
        </w:tc>
        <w:tc>
          <w:tcPr>
            <w:tcW w:w="1162" w:type="dxa"/>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6 Org</w:t>
            </w:r>
          </w:p>
        </w:tc>
        <w:tc>
          <w:tcPr>
            <w:tcW w:w="1134" w:type="dxa"/>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14 Org</w:t>
            </w:r>
          </w:p>
        </w:tc>
        <w:tc>
          <w:tcPr>
            <w:tcW w:w="1276" w:type="dxa"/>
          </w:tcPr>
          <w:p>
            <w:pPr>
              <w:tabs>
                <w:tab w:val="left" w:pos="1276"/>
              </w:tabs>
              <w:autoSpaceDE w:val="0"/>
              <w:autoSpaceDN w:val="0"/>
              <w:adjustRightInd w:val="0"/>
              <w:spacing w:after="0" w:line="240" w:lineRule="auto"/>
              <w:jc w:val="center"/>
              <w:rPr>
                <w:rFonts w:ascii="Bookman Old Style" w:hAnsi="Bookman Old Style" w:eastAsia="Times New Roman" w:cs="Tahoma"/>
                <w:b/>
                <w:color w:val="000000" w:themeColor="text1"/>
                <w:sz w:val="24"/>
                <w:szCs w:val="20"/>
                <w:lang w:val="id-ID" w:eastAsia="id-ID"/>
                <w14:textFill>
                  <w14:solidFill>
                    <w14:schemeClr w14:val="tx1"/>
                  </w14:solidFill>
                </w14:textFill>
              </w:rPr>
            </w:pPr>
            <w:r>
              <w:rPr>
                <w:rFonts w:ascii="Bookman Old Style" w:hAnsi="Bookman Old Style" w:eastAsia="Times New Roman" w:cs="Tahoma"/>
                <w:b/>
                <w:color w:val="000000" w:themeColor="text1"/>
                <w:sz w:val="24"/>
                <w:szCs w:val="20"/>
                <w:lang w:val="id-ID" w:eastAsia="id-ID"/>
                <w14:textFill>
                  <w14:solidFill>
                    <w14:schemeClr w14:val="tx1"/>
                  </w14:solidFill>
                </w14:textFill>
              </w:rPr>
              <w:t>21 Org</w:t>
            </w:r>
          </w:p>
        </w:tc>
      </w:tr>
    </w:tbl>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before="24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jc w:val="both"/>
        <w:rPr>
          <w:rFonts w:ascii="Bookman Old Style" w:hAnsi="Bookman Old Style" w:eastAsia="Times New Roman" w:cs="Tahoma"/>
          <w:b/>
          <w:bCs/>
          <w:color w:val="000000" w:themeColor="text1"/>
          <w:sz w:val="14"/>
          <w:szCs w:val="24"/>
          <w14:textFill>
            <w14:solidFill>
              <w14:schemeClr w14:val="tx1"/>
            </w14:solidFill>
          </w14:textFill>
        </w:rPr>
      </w:pPr>
    </w:p>
    <w:p>
      <w:pPr>
        <w:numPr>
          <w:ilvl w:val="2"/>
          <w:numId w:val="8"/>
        </w:numPr>
        <w:tabs>
          <w:tab w:val="left" w:pos="851"/>
        </w:tabs>
        <w:autoSpaceDE w:val="0"/>
        <w:autoSpaceDN w:val="0"/>
        <w:adjustRightInd w:val="0"/>
        <w:spacing w:before="240" w:after="0" w:line="360" w:lineRule="auto"/>
        <w:ind w:left="1843" w:hanging="108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Sarana dan Prasarana</w:t>
      </w: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Dalam melaksanakan tugas Dinas </w:t>
      </w:r>
      <w:r>
        <w:rPr>
          <w:rFonts w:ascii="Bookman Old Style" w:hAnsi="Bookman Old Style" w:eastAsia="Times New Roman" w:cs="Tahoma"/>
          <w:bCs/>
          <w:color w:val="000000" w:themeColor="text1"/>
          <w:sz w:val="24"/>
          <w:szCs w:val="24"/>
          <w14:textFill>
            <w14:solidFill>
              <w14:schemeClr w14:val="tx1"/>
            </w14:solidFill>
          </w14:textFill>
        </w:rPr>
        <w:t xml:space="preserve">Perdagangan, Koperasi dan Usaha Kecil dan Menengah </w:t>
      </w:r>
      <w:r>
        <w:rPr>
          <w:rFonts w:ascii="Bookman Old Style" w:hAnsi="Bookman Old Style" w:eastAsia="Times New Roman" w:cs="Tahoma"/>
          <w:color w:val="000000" w:themeColor="text1"/>
          <w:sz w:val="24"/>
          <w:szCs w:val="24"/>
          <w14:textFill>
            <w14:solidFill>
              <w14:schemeClr w14:val="tx1"/>
            </w14:solidFill>
          </w14:textFill>
        </w:rPr>
        <w:t xml:space="preserve">Kabupaten Kepulauan Selayar didukung sarana dan prasarana berdasarkan data per bulan Desember 2023 sebagaimana  </w:t>
      </w:r>
      <w:r>
        <w:rPr>
          <w:rFonts w:ascii="Bookman Old Style" w:hAnsi="Bookman Old Style" w:eastAsia="Times New Roman" w:cs="Tahoma"/>
          <w:color w:val="000000" w:themeColor="text1"/>
          <w:sz w:val="24"/>
          <w:szCs w:val="24"/>
          <w:lang w:val="id-ID"/>
          <w14:textFill>
            <w14:solidFill>
              <w14:schemeClr w14:val="tx1"/>
            </w14:solidFill>
          </w14:textFill>
        </w:rPr>
        <w:t>Tabel 2.</w:t>
      </w:r>
      <w:r>
        <w:rPr>
          <w:rFonts w:ascii="Bookman Old Style" w:hAnsi="Bookman Old Style" w:eastAsia="Times New Roman" w:cs="Tahoma"/>
          <w:color w:val="000000" w:themeColor="text1"/>
          <w:sz w:val="24"/>
          <w:szCs w:val="24"/>
          <w:lang w:val="en-GB"/>
          <w14:textFill>
            <w14:solidFill>
              <w14:schemeClr w14:val="tx1"/>
            </w14:solidFill>
          </w14:textFill>
        </w:rPr>
        <w:t>2.2.1</w:t>
      </w:r>
      <w:r>
        <w:rPr>
          <w:rFonts w:ascii="Bookman Old Style" w:hAnsi="Bookman Old Style" w:eastAsia="Times New Roman" w:cs="Tahoma"/>
          <w:color w:val="000000" w:themeColor="text1"/>
          <w:sz w:val="24"/>
          <w:szCs w:val="24"/>
          <w14:textFill>
            <w14:solidFill>
              <w14:schemeClr w14:val="tx1"/>
            </w14:solidFill>
          </w14:textFill>
        </w:rPr>
        <w:t xml:space="preserve"> berikut :</w:t>
      </w:r>
    </w:p>
    <w:tbl>
      <w:tblPr>
        <w:tblStyle w:val="4"/>
        <w:tblpPr w:leftFromText="180" w:rightFromText="180" w:vertAnchor="text" w:horzAnchor="margin" w:tblpXSpec="right" w:tblpY="126"/>
        <w:tblW w:w="8166" w:type="dxa"/>
        <w:tblInd w:w="0" w:type="dxa"/>
        <w:tblLayout w:type="autofit"/>
        <w:tblCellMar>
          <w:top w:w="0" w:type="dxa"/>
          <w:left w:w="108" w:type="dxa"/>
          <w:bottom w:w="0" w:type="dxa"/>
          <w:right w:w="108" w:type="dxa"/>
        </w:tblCellMar>
      </w:tblPr>
      <w:tblGrid>
        <w:gridCol w:w="543"/>
        <w:gridCol w:w="5235"/>
        <w:gridCol w:w="1268"/>
        <w:gridCol w:w="1120"/>
      </w:tblGrid>
      <w:tr>
        <w:tblPrEx>
          <w:tblCellMar>
            <w:top w:w="0" w:type="dxa"/>
            <w:left w:w="108" w:type="dxa"/>
            <w:bottom w:w="0" w:type="dxa"/>
            <w:right w:w="108" w:type="dxa"/>
          </w:tblCellMar>
        </w:tblPrEx>
        <w:trPr>
          <w:trHeight w:val="270" w:hRule="atLeast"/>
        </w:trPr>
        <w:tc>
          <w:tcPr>
            <w:tcW w:w="543" w:type="dxa"/>
            <w:tcBorders>
              <w:top w:val="single" w:color="000000" w:sz="8" w:space="0"/>
              <w:left w:val="single" w:color="000000" w:sz="8" w:space="0"/>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id-ID"/>
                <w14:textFill>
                  <w14:solidFill>
                    <w14:schemeClr w14:val="tx1"/>
                  </w14:solidFill>
                </w14:textFill>
              </w:rPr>
              <w:t>No</w:t>
            </w:r>
          </w:p>
        </w:tc>
        <w:tc>
          <w:tcPr>
            <w:tcW w:w="5235"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Jenis Saran dan Prasarana</w:t>
            </w:r>
          </w:p>
        </w:tc>
        <w:tc>
          <w:tcPr>
            <w:tcW w:w="1268"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Jumlah</w:t>
            </w:r>
          </w:p>
        </w:tc>
        <w:tc>
          <w:tcPr>
            <w:tcW w:w="1120"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Ket</w:t>
            </w:r>
          </w:p>
        </w:tc>
      </w:tr>
      <w:tr>
        <w:tblPrEx>
          <w:tblCellMar>
            <w:top w:w="0" w:type="dxa"/>
            <w:left w:w="108" w:type="dxa"/>
            <w:bottom w:w="0" w:type="dxa"/>
            <w:right w:w="108" w:type="dxa"/>
          </w:tblCellMar>
        </w:tblPrEx>
        <w:trPr>
          <w:trHeight w:val="375"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Mini Bus (Penumpang 14 orang ke bawah)</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Sepeda Motor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Meja Pos Ukur Ulang</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Bejana Ukur Standar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5</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Alat Uji Meteran Kerja 1 m/ 1 mm</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6</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Alat Uji Takaran</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7</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Alat Uji Pompa Ukur BBM</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4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8</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Alat Uji Timbangan Elektronik</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9</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Anak Timbangan </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10</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Alat Uji Dancin Logam</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11</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Anak Timbangan  (Bidur) Kelas M2</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25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345"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12</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Termometer Digital</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13</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Anak Timbangan Remidi Kelas M2</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14</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Anak Timbangan Miligram Massa</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15</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Meja Sidang Tera/Tera Ulang</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4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16</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Tool Set Sidang</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17</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Tang Segel</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4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18</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Landasan Cap Tanda Tera</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19</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Thermohygrometer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20</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Salib Sumbu</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21</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Tongkat Duga </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22</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Timbangan Ukur Ulang /Pos Ukur Ulang</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23</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Cs w:val="24"/>
                <w:lang w:val="id-ID" w:eastAsia="id-ID"/>
                <w14:textFill>
                  <w14:solidFill>
                    <w14:schemeClr w14:val="tx1"/>
                  </w14:solidFill>
                </w14:textFill>
              </w:rPr>
              <w:t>Gelas Ukur Kapitas 1 Liter Daya Baca 100 ml</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24</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Dehumidifier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25</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Power Roll Cable 50 Meter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26</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AC</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17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27</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Televisi</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7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28</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Mesin Scanning Dokumen</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29</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Absensi Sidik Jari </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30</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Running Text</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31</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Kulkas</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2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32</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Kamera</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7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33</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Lemari</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16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300" w:hRule="atLeast"/>
        </w:trPr>
        <w:tc>
          <w:tcPr>
            <w:tcW w:w="543"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34</w:t>
            </w:r>
          </w:p>
        </w:tc>
        <w:tc>
          <w:tcPr>
            <w:tcW w:w="523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Speaker</w:t>
            </w:r>
          </w:p>
        </w:tc>
        <w:tc>
          <w:tcPr>
            <w:tcW w:w="1268"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20"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43" w:type="dxa"/>
            <w:tcBorders>
              <w:top w:val="nil"/>
              <w:left w:val="single" w:color="000000" w:sz="8" w:space="0"/>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35</w:t>
            </w:r>
          </w:p>
        </w:tc>
        <w:tc>
          <w:tcPr>
            <w:tcW w:w="5235" w:type="dxa"/>
            <w:tcBorders>
              <w:top w:val="nil"/>
              <w:left w:val="nil"/>
              <w:bottom w:val="single" w:color="auto"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Gorden</w:t>
            </w:r>
          </w:p>
        </w:tc>
        <w:tc>
          <w:tcPr>
            <w:tcW w:w="1268" w:type="dxa"/>
            <w:tcBorders>
              <w:top w:val="nil"/>
              <w:left w:val="nil"/>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Paket</w:t>
            </w:r>
          </w:p>
        </w:tc>
        <w:tc>
          <w:tcPr>
            <w:tcW w:w="1120" w:type="dxa"/>
            <w:tcBorders>
              <w:top w:val="nil"/>
              <w:left w:val="nil"/>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bl>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tbl>
      <w:tblPr>
        <w:tblStyle w:val="4"/>
        <w:tblpPr w:leftFromText="180" w:rightFromText="180" w:vertAnchor="page" w:horzAnchor="margin" w:tblpXSpec="right" w:tblpY="7650"/>
        <w:tblW w:w="8222" w:type="dxa"/>
        <w:tblInd w:w="0" w:type="dxa"/>
        <w:tblLayout w:type="autofit"/>
        <w:tblCellMar>
          <w:top w:w="0" w:type="dxa"/>
          <w:left w:w="108" w:type="dxa"/>
          <w:bottom w:w="0" w:type="dxa"/>
          <w:right w:w="108" w:type="dxa"/>
        </w:tblCellMar>
      </w:tblPr>
      <w:tblGrid>
        <w:gridCol w:w="567"/>
        <w:gridCol w:w="5245"/>
        <w:gridCol w:w="1276"/>
        <w:gridCol w:w="1134"/>
      </w:tblGrid>
      <w:tr>
        <w:tblPrEx>
          <w:tblCellMar>
            <w:top w:w="0" w:type="dxa"/>
            <w:left w:w="108" w:type="dxa"/>
            <w:bottom w:w="0" w:type="dxa"/>
            <w:right w:w="108" w:type="dxa"/>
          </w:tblCellMar>
        </w:tblPrEx>
        <w:trPr>
          <w:trHeight w:val="270" w:hRule="atLeast"/>
        </w:trPr>
        <w:tc>
          <w:tcPr>
            <w:tcW w:w="567" w:type="dxa"/>
            <w:tcBorders>
              <w:top w:val="single" w:color="000000" w:sz="8" w:space="0"/>
              <w:left w:val="single" w:color="000000" w:sz="8" w:space="0"/>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id-ID"/>
                <w14:textFill>
                  <w14:solidFill>
                    <w14:schemeClr w14:val="tx1"/>
                  </w14:solidFill>
                </w14:textFill>
              </w:rPr>
              <w:t>No</w:t>
            </w:r>
          </w:p>
        </w:tc>
        <w:tc>
          <w:tcPr>
            <w:tcW w:w="5245"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Jenis Saran</w:t>
            </w:r>
            <w:r>
              <w:rPr>
                <w:rFonts w:ascii="Bookman Old Style" w:hAnsi="Bookman Old Style" w:eastAsia="Times New Roman" w:cs="Tahoma"/>
                <w:b/>
                <w:bCs/>
                <w:color w:val="000000" w:themeColor="text1"/>
                <w:sz w:val="24"/>
                <w:szCs w:val="24"/>
                <w:lang w:eastAsia="en-GB"/>
                <w14:textFill>
                  <w14:solidFill>
                    <w14:schemeClr w14:val="tx1"/>
                  </w14:solidFill>
                </w14:textFill>
              </w:rPr>
              <w:t>a</w:t>
            </w:r>
            <w:r>
              <w:rPr>
                <w:rFonts w:ascii="Bookman Old Style" w:hAnsi="Bookman Old Style" w:eastAsia="Times New Roman" w:cs="Tahoma"/>
                <w:b/>
                <w:bCs/>
                <w:color w:val="000000" w:themeColor="text1"/>
                <w:sz w:val="24"/>
                <w:szCs w:val="24"/>
                <w:lang w:val="id-ID" w:eastAsia="en-GB"/>
                <w14:textFill>
                  <w14:solidFill>
                    <w14:schemeClr w14:val="tx1"/>
                  </w14:solidFill>
                </w14:textFill>
              </w:rPr>
              <w:t xml:space="preserve"> dan Prasarana</w:t>
            </w:r>
          </w:p>
        </w:tc>
        <w:tc>
          <w:tcPr>
            <w:tcW w:w="1276"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Jumlah</w:t>
            </w:r>
          </w:p>
        </w:tc>
        <w:tc>
          <w:tcPr>
            <w:tcW w:w="1134" w:type="dxa"/>
            <w:tcBorders>
              <w:top w:val="single" w:color="000000" w:sz="8" w:space="0"/>
              <w:left w:val="nil"/>
              <w:bottom w:val="single" w:color="000000" w:sz="8" w:space="0"/>
              <w:right w:val="single" w:color="000000" w:sz="8" w:space="0"/>
            </w:tcBorders>
            <w:shd w:val="clear" w:color="auto" w:fill="F8CBAD"/>
            <w:vAlign w:val="center"/>
          </w:tcPr>
          <w:p>
            <w:pPr>
              <w:spacing w:after="0" w:line="240" w:lineRule="auto"/>
              <w:jc w:val="center"/>
              <w:rPr>
                <w:rFonts w:ascii="Bookman Old Style" w:hAnsi="Bookman Old Style" w:eastAsia="Times New Roman" w:cs="Tahoma"/>
                <w:b/>
                <w:bCs/>
                <w:color w:val="000000" w:themeColor="text1"/>
                <w:sz w:val="24"/>
                <w:szCs w:val="24"/>
                <w:lang w:val="id-ID" w:eastAsia="id-ID"/>
                <w14:textFill>
                  <w14:solidFill>
                    <w14:schemeClr w14:val="tx1"/>
                  </w14:solidFill>
                </w14:textFill>
              </w:rPr>
            </w:pPr>
            <w:r>
              <w:rPr>
                <w:rFonts w:ascii="Bookman Old Style" w:hAnsi="Bookman Old Style" w:eastAsia="Times New Roman" w:cs="Tahoma"/>
                <w:b/>
                <w:bCs/>
                <w:color w:val="000000" w:themeColor="text1"/>
                <w:sz w:val="24"/>
                <w:szCs w:val="24"/>
                <w:lang w:val="id-ID" w:eastAsia="en-GB"/>
                <w14:textFill>
                  <w14:solidFill>
                    <w14:schemeClr w14:val="tx1"/>
                  </w14:solidFill>
                </w14:textFill>
              </w:rPr>
              <w:t>Ket</w:t>
            </w:r>
          </w:p>
        </w:tc>
      </w:tr>
      <w:tr>
        <w:tblPrEx>
          <w:tblCellMar>
            <w:top w:w="0" w:type="dxa"/>
            <w:left w:w="108" w:type="dxa"/>
            <w:bottom w:w="0" w:type="dxa"/>
            <w:right w:w="108" w:type="dxa"/>
          </w:tblCellMar>
        </w:tblPrEx>
        <w:trPr>
          <w:trHeight w:val="360" w:hRule="atLeast"/>
        </w:trPr>
        <w:tc>
          <w:tcPr>
            <w:tcW w:w="567" w:type="dxa"/>
            <w:tcBorders>
              <w:top w:val="single" w:color="000000" w:sz="4" w:space="0"/>
              <w:left w:val="single" w:color="000000" w:sz="8" w:space="0"/>
              <w:bottom w:val="single" w:color="000000" w:sz="4" w:space="0"/>
              <w:right w:val="single" w:color="000000" w:sz="8" w:space="0"/>
            </w:tcBorders>
            <w:vAlign w:val="bottom"/>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36</w:t>
            </w:r>
          </w:p>
        </w:tc>
        <w:tc>
          <w:tcPr>
            <w:tcW w:w="5245" w:type="dxa"/>
            <w:tcBorders>
              <w:top w:val="single" w:color="000000" w:sz="4" w:space="0"/>
              <w:left w:val="nil"/>
              <w:bottom w:val="single" w:color="000000" w:sz="4"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Kursi Rapat</w:t>
            </w:r>
          </w:p>
        </w:tc>
        <w:tc>
          <w:tcPr>
            <w:tcW w:w="1276" w:type="dxa"/>
            <w:tcBorders>
              <w:top w:val="single" w:color="000000" w:sz="4" w:space="0"/>
              <w:left w:val="nil"/>
              <w:bottom w:val="single" w:color="000000" w:sz="4" w:space="0"/>
              <w:right w:val="single" w:color="000000" w:sz="8" w:space="0"/>
            </w:tcBorders>
            <w:vAlign w:val="bottom"/>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100 Unit</w:t>
            </w:r>
          </w:p>
        </w:tc>
        <w:tc>
          <w:tcPr>
            <w:tcW w:w="1134" w:type="dxa"/>
            <w:tcBorders>
              <w:top w:val="single" w:color="000000" w:sz="4" w:space="0"/>
              <w:left w:val="nil"/>
              <w:bottom w:val="single" w:color="000000" w:sz="4" w:space="0"/>
              <w:right w:val="single" w:color="000000" w:sz="8" w:space="0"/>
            </w:tcBorders>
            <w:vAlign w:val="bottom"/>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67"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37</w:t>
            </w:r>
          </w:p>
        </w:tc>
        <w:tc>
          <w:tcPr>
            <w:tcW w:w="524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Kursi Kerja</w:t>
            </w:r>
          </w:p>
        </w:tc>
        <w:tc>
          <w:tcPr>
            <w:tcW w:w="1276"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39 Unit</w:t>
            </w:r>
          </w:p>
        </w:tc>
        <w:tc>
          <w:tcPr>
            <w:tcW w:w="1134"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67"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38</w:t>
            </w:r>
          </w:p>
        </w:tc>
        <w:tc>
          <w:tcPr>
            <w:tcW w:w="524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Kursi Tamu</w:t>
            </w:r>
          </w:p>
        </w:tc>
        <w:tc>
          <w:tcPr>
            <w:tcW w:w="1276"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 Unit</w:t>
            </w:r>
          </w:p>
        </w:tc>
        <w:tc>
          <w:tcPr>
            <w:tcW w:w="1134"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360" w:hRule="atLeast"/>
        </w:trPr>
        <w:tc>
          <w:tcPr>
            <w:tcW w:w="567"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39</w:t>
            </w:r>
          </w:p>
        </w:tc>
        <w:tc>
          <w:tcPr>
            <w:tcW w:w="524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Meja Kerja</w:t>
            </w:r>
          </w:p>
        </w:tc>
        <w:tc>
          <w:tcPr>
            <w:tcW w:w="1276"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37 Unit</w:t>
            </w:r>
          </w:p>
        </w:tc>
        <w:tc>
          <w:tcPr>
            <w:tcW w:w="1134"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70" w:hRule="atLeast"/>
        </w:trPr>
        <w:tc>
          <w:tcPr>
            <w:tcW w:w="567"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40</w:t>
            </w:r>
          </w:p>
        </w:tc>
        <w:tc>
          <w:tcPr>
            <w:tcW w:w="524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Laptop</w:t>
            </w:r>
          </w:p>
        </w:tc>
        <w:tc>
          <w:tcPr>
            <w:tcW w:w="1276"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35 Unit</w:t>
            </w:r>
          </w:p>
        </w:tc>
        <w:tc>
          <w:tcPr>
            <w:tcW w:w="1134"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345" w:hRule="atLeast"/>
        </w:trPr>
        <w:tc>
          <w:tcPr>
            <w:tcW w:w="567" w:type="dxa"/>
            <w:tcBorders>
              <w:top w:val="nil"/>
              <w:left w:val="single" w:color="000000" w:sz="8" w:space="0"/>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41</w:t>
            </w:r>
          </w:p>
        </w:tc>
        <w:tc>
          <w:tcPr>
            <w:tcW w:w="5245" w:type="dxa"/>
            <w:tcBorders>
              <w:top w:val="nil"/>
              <w:left w:val="nil"/>
              <w:bottom w:val="single" w:color="000000"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Printer</w:t>
            </w:r>
          </w:p>
        </w:tc>
        <w:tc>
          <w:tcPr>
            <w:tcW w:w="1276"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14 Unit</w:t>
            </w:r>
          </w:p>
        </w:tc>
        <w:tc>
          <w:tcPr>
            <w:tcW w:w="1134" w:type="dxa"/>
            <w:tcBorders>
              <w:top w:val="nil"/>
              <w:left w:val="nil"/>
              <w:bottom w:val="single" w:color="000000"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nil"/>
              <w:left w:val="single" w:color="000000" w:sz="8" w:space="0"/>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42</w:t>
            </w:r>
          </w:p>
        </w:tc>
        <w:tc>
          <w:tcPr>
            <w:tcW w:w="5245" w:type="dxa"/>
            <w:tcBorders>
              <w:top w:val="nil"/>
              <w:left w:val="nil"/>
              <w:bottom w:val="single" w:color="auto" w:sz="4" w:space="0"/>
              <w:right w:val="single" w:color="000000" w:sz="8"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Wireless Access Point</w:t>
            </w:r>
          </w:p>
        </w:tc>
        <w:tc>
          <w:tcPr>
            <w:tcW w:w="1276" w:type="dxa"/>
            <w:tcBorders>
              <w:top w:val="nil"/>
              <w:left w:val="nil"/>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34" w:type="dxa"/>
            <w:tcBorders>
              <w:top w:val="nil"/>
              <w:left w:val="nil"/>
              <w:bottom w:val="single" w:color="auto" w:sz="4"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43</w:t>
            </w:r>
          </w:p>
        </w:tc>
        <w:tc>
          <w:tcPr>
            <w:tcW w:w="524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Komputer PC</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10 Unit</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44</w:t>
            </w:r>
          </w:p>
        </w:tc>
        <w:tc>
          <w:tcPr>
            <w:tcW w:w="524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Note Book</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8 Unit</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45</w:t>
            </w:r>
          </w:p>
        </w:tc>
        <w:tc>
          <w:tcPr>
            <w:tcW w:w="524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UPS</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46</w:t>
            </w: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 </w:t>
            </w:r>
          </w:p>
        </w:tc>
        <w:tc>
          <w:tcPr>
            <w:tcW w:w="524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Proyektor</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4 Unit</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47</w:t>
            </w:r>
          </w:p>
        </w:tc>
        <w:tc>
          <w:tcPr>
            <w:tcW w:w="5245"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Facsimile</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1 Unit</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Baik</w:t>
            </w:r>
          </w:p>
        </w:tc>
      </w:tr>
    </w:tbl>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ind w:left="1843" w:firstLine="567"/>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line="360" w:lineRule="auto"/>
        <w:jc w:val="both"/>
        <w:rPr>
          <w:rFonts w:ascii="Times New Roman" w:hAnsi="Times New Roman" w:eastAsia="Times New Roman" w:cs="Times New Roman"/>
          <w:sz w:val="24"/>
          <w:szCs w:val="20"/>
        </w:rPr>
      </w:pPr>
    </w:p>
    <w:p>
      <w:pPr>
        <w:tabs>
          <w:tab w:val="left" w:pos="1701"/>
          <w:tab w:val="left" w:pos="3270"/>
        </w:tabs>
        <w:autoSpaceDE w:val="0"/>
        <w:autoSpaceDN w:val="0"/>
        <w:adjustRightInd w:val="0"/>
        <w:spacing w:before="240" w:line="360" w:lineRule="auto"/>
        <w:ind w:left="1843"/>
        <w:contextualSpacing/>
        <w:jc w:val="both"/>
        <w:rPr>
          <w:rFonts w:ascii="Bookman Old Style" w:hAnsi="Bookman Old Style" w:eastAsia="Times New Roman" w:cs="Tahoma"/>
          <w:color w:val="000000" w:themeColor="text1"/>
          <w:sz w:val="6"/>
          <w:szCs w:val="6"/>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p>
    <w:p>
      <w:pPr>
        <w:numPr>
          <w:ilvl w:val="1"/>
          <w:numId w:val="8"/>
        </w:numPr>
        <w:tabs>
          <w:tab w:val="left" w:pos="426"/>
        </w:tabs>
        <w:autoSpaceDE w:val="0"/>
        <w:autoSpaceDN w:val="0"/>
        <w:adjustRightInd w:val="0"/>
        <w:spacing w:before="240" w:after="0" w:line="240" w:lineRule="auto"/>
        <w:ind w:left="720" w:hanging="72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Kinerja Pelayanan </w:t>
      </w:r>
      <w:r>
        <w:rPr>
          <w:rFonts w:ascii="Bookman Old Style" w:hAnsi="Bookman Old Style" w:eastAsia="Times New Roman" w:cs="Tahoma"/>
          <w:b/>
          <w:color w:val="000000" w:themeColor="text1"/>
          <w:sz w:val="24"/>
          <w:szCs w:val="24"/>
          <w14:textFill>
            <w14:solidFill>
              <w14:schemeClr w14:val="tx1"/>
            </w14:solidFill>
          </w14:textFill>
        </w:rPr>
        <w:t xml:space="preserve">Dinas </w:t>
      </w:r>
      <w:r>
        <w:rPr>
          <w:rFonts w:ascii="Bookman Old Style" w:hAnsi="Bookman Old Style" w:eastAsia="Times New Roman" w:cs="Tahoma"/>
          <w:b/>
          <w:bCs/>
          <w:color w:val="000000" w:themeColor="text1"/>
          <w:sz w:val="24"/>
          <w:szCs w:val="24"/>
          <w14:textFill>
            <w14:solidFill>
              <w14:schemeClr w14:val="tx1"/>
            </w14:solidFill>
          </w14:textFill>
        </w:rPr>
        <w:t>Perdagangan, Koperasi dan Usaha Kecil dan Menengah</w:t>
      </w:r>
    </w:p>
    <w:p>
      <w:pPr>
        <w:tabs>
          <w:tab w:val="left" w:pos="1701"/>
        </w:tabs>
        <w:autoSpaceDE w:val="0"/>
        <w:autoSpaceDN w:val="0"/>
        <w:adjustRightInd w:val="0"/>
        <w:spacing w:before="240" w:after="0" w:line="360" w:lineRule="auto"/>
        <w:ind w:left="709" w:firstLine="1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Berdasarkan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maka Indikator urusan</w:t>
      </w:r>
      <w:r>
        <w:rPr>
          <w:rFonts w:ascii="Bookman Old Style" w:hAnsi="Bookman Old Style" w:eastAsia="Times New Roman" w:cs="Tahoma"/>
          <w:bCs/>
          <w:color w:val="000000" w:themeColor="text1"/>
          <w:sz w:val="24"/>
          <w:szCs w:val="24"/>
          <w14:textFill>
            <w14:solidFill>
              <w14:schemeClr w14:val="tx1"/>
            </w14:solidFill>
          </w14:textFill>
        </w:rPr>
        <w:t xml:space="preserve"> Perdagangan, Koperasi, Usaha Kecil dan Menengah</w:t>
      </w:r>
      <w:r>
        <w:rPr>
          <w:rFonts w:ascii="Bookman Old Style" w:hAnsi="Bookman Old Style" w:eastAsia="Times New Roman" w:cs="Tahoma"/>
          <w:color w:val="000000" w:themeColor="text1"/>
          <w:sz w:val="24"/>
          <w:szCs w:val="24"/>
          <w14:textFill>
            <w14:solidFill>
              <w14:schemeClr w14:val="tx1"/>
            </w14:solidFill>
          </w14:textFill>
        </w:rPr>
        <w:t xml:space="preserve"> Kabupaten Kepulauan Selayar terdiri dari dua layanan urusan yaitu : </w:t>
      </w:r>
    </w:p>
    <w:p>
      <w:pPr>
        <w:numPr>
          <w:ilvl w:val="0"/>
          <w:numId w:val="21"/>
        </w:numPr>
        <w:tabs>
          <w:tab w:val="left" w:pos="1701"/>
        </w:tabs>
        <w:autoSpaceDE w:val="0"/>
        <w:autoSpaceDN w:val="0"/>
        <w:adjustRightInd w:val="0"/>
        <w:spacing w:before="240" w:after="0" w:line="360" w:lineRule="auto"/>
        <w:ind w:left="1134" w:hanging="42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Layanan Urusan Wajib Non Dasar :</w:t>
      </w:r>
    </w:p>
    <w:p>
      <w:pPr>
        <w:numPr>
          <w:ilvl w:val="0"/>
          <w:numId w:val="22"/>
        </w:numPr>
        <w:tabs>
          <w:tab w:val="left" w:pos="1701"/>
        </w:tabs>
        <w:autoSpaceDE w:val="0"/>
        <w:autoSpaceDN w:val="0"/>
        <w:adjustRightInd w:val="0"/>
        <w:spacing w:before="240" w:after="0" w:line="360" w:lineRule="auto"/>
        <w:ind w:left="1494" w:hanging="360"/>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Persentase koperasi aktif </w:t>
      </w:r>
    </w:p>
    <w:p>
      <w:pPr>
        <w:numPr>
          <w:ilvl w:val="0"/>
          <w:numId w:val="22"/>
        </w:numPr>
        <w:tabs>
          <w:tab w:val="left" w:pos="1701"/>
        </w:tabs>
        <w:autoSpaceDE w:val="0"/>
        <w:autoSpaceDN w:val="0"/>
        <w:adjustRightInd w:val="0"/>
        <w:spacing w:before="240" w:after="0" w:line="360" w:lineRule="auto"/>
        <w:ind w:left="1494" w:hanging="360"/>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UKM non BPR/LKM aktif</w:t>
      </w:r>
    </w:p>
    <w:p>
      <w:pPr>
        <w:numPr>
          <w:ilvl w:val="0"/>
          <w:numId w:val="22"/>
        </w:numPr>
        <w:tabs>
          <w:tab w:val="left" w:pos="1701"/>
        </w:tabs>
        <w:autoSpaceDE w:val="0"/>
        <w:autoSpaceDN w:val="0"/>
        <w:adjustRightInd w:val="0"/>
        <w:spacing w:before="240" w:after="0" w:line="360" w:lineRule="auto"/>
        <w:ind w:left="1494" w:hanging="360"/>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BPR/LKM aktif</w:t>
      </w:r>
    </w:p>
    <w:p>
      <w:pPr>
        <w:numPr>
          <w:ilvl w:val="0"/>
          <w:numId w:val="22"/>
        </w:numPr>
        <w:tabs>
          <w:tab w:val="left" w:pos="1701"/>
        </w:tabs>
        <w:autoSpaceDE w:val="0"/>
        <w:autoSpaceDN w:val="0"/>
        <w:adjustRightInd w:val="0"/>
        <w:spacing w:before="240" w:after="0" w:line="360" w:lineRule="auto"/>
        <w:ind w:left="1494" w:hanging="360"/>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Usaha Mikro dan Kecil</w:t>
      </w:r>
    </w:p>
    <w:p>
      <w:pPr>
        <w:numPr>
          <w:ilvl w:val="0"/>
          <w:numId w:val="21"/>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Layanan Urusan Pilihan :</w:t>
      </w:r>
    </w:p>
    <w:p>
      <w:pPr>
        <w:numPr>
          <w:ilvl w:val="0"/>
          <w:numId w:val="23"/>
        </w:numPr>
        <w:tabs>
          <w:tab w:val="left" w:pos="851"/>
        </w:tabs>
        <w:autoSpaceDE w:val="0"/>
        <w:autoSpaceDN w:val="0"/>
        <w:adjustRightInd w:val="0"/>
        <w:spacing w:after="0" w:line="360" w:lineRule="auto"/>
        <w:ind w:left="14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Ekspor Bersih Perdagangan</w:t>
      </w:r>
    </w:p>
    <w:p>
      <w:pPr>
        <w:numPr>
          <w:ilvl w:val="0"/>
          <w:numId w:val="23"/>
        </w:numPr>
        <w:tabs>
          <w:tab w:val="left" w:pos="851"/>
        </w:tabs>
        <w:autoSpaceDE w:val="0"/>
        <w:autoSpaceDN w:val="0"/>
        <w:adjustRightInd w:val="0"/>
        <w:spacing w:after="0" w:line="360" w:lineRule="auto"/>
        <w:ind w:left="1494"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Cakupan bina kelompok pedagang/usaha informal</w:t>
      </w: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851"/>
          <w:tab w:val="left" w:pos="1701"/>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Berdasarkan Peraturan Menteri Dalam Negeri Nomor                        18 Tahun 2020 tentang Peraturan Pelaksanaan Peraturan Pemerintah Nomor 13 Tahun 2019 Tentang Laporan dan Evaluasi Penyelenggaraan Pemerintahan Daerah, maka Indikator Kinerja Kunci, Outcome dan Output urusan </w:t>
      </w:r>
      <w:r>
        <w:rPr>
          <w:rFonts w:ascii="Bookman Old Style" w:hAnsi="Bookman Old Style" w:eastAsia="Times New Roman" w:cs="Tahoma"/>
          <w:bCs/>
          <w:color w:val="000000" w:themeColor="text1"/>
          <w:sz w:val="24"/>
          <w:szCs w:val="24"/>
          <w14:textFill>
            <w14:solidFill>
              <w14:schemeClr w14:val="tx1"/>
            </w14:solidFill>
          </w14:textFill>
        </w:rPr>
        <w:t>Perdagangan, Koperasi, Usaha Kecil dan Menengah</w:t>
      </w:r>
      <w:r>
        <w:rPr>
          <w:rFonts w:ascii="Bookman Old Style" w:hAnsi="Bookman Old Style" w:eastAsia="Times New Roman" w:cs="Tahoma"/>
          <w:color w:val="000000" w:themeColor="text1"/>
          <w:sz w:val="24"/>
          <w:szCs w:val="24"/>
          <w14:textFill>
            <w14:solidFill>
              <w14:schemeClr w14:val="tx1"/>
            </w14:solidFill>
          </w14:textFill>
        </w:rPr>
        <w:t xml:space="preserve"> Kabupaten Kepulauan Selayar terdiri dari :</w:t>
      </w:r>
    </w:p>
    <w:p>
      <w:pPr>
        <w:tabs>
          <w:tab w:val="left" w:pos="851"/>
          <w:tab w:val="left" w:pos="1701"/>
        </w:tabs>
        <w:autoSpaceDE w:val="0"/>
        <w:autoSpaceDN w:val="0"/>
        <w:adjustRightInd w:val="0"/>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851"/>
          <w:tab w:val="left" w:pos="1701"/>
        </w:tabs>
        <w:autoSpaceDE w:val="0"/>
        <w:autoSpaceDN w:val="0"/>
        <w:adjustRightInd w:val="0"/>
        <w:spacing w:after="0" w:line="360" w:lineRule="auto"/>
        <w:ind w:left="709"/>
        <w:jc w:val="both"/>
        <w:rPr>
          <w:rFonts w:ascii="Bookman Old Style" w:hAnsi="Bookman Old Style" w:eastAsia="Times New Roman" w:cs="Tahoma"/>
          <w:b/>
          <w:color w:val="000000" w:themeColor="text1"/>
          <w:sz w:val="24"/>
          <w:szCs w:val="24"/>
          <w:u w:val="single"/>
          <w14:textFill>
            <w14:solidFill>
              <w14:schemeClr w14:val="tx1"/>
            </w14:solidFill>
          </w14:textFill>
        </w:rPr>
      </w:pPr>
      <w:r>
        <w:rPr>
          <w:rFonts w:ascii="Bookman Old Style" w:hAnsi="Bookman Old Style" w:eastAsia="Times New Roman" w:cs="Tahoma"/>
          <w:b/>
          <w:color w:val="000000" w:themeColor="text1"/>
          <w:sz w:val="24"/>
          <w:szCs w:val="24"/>
          <w:u w:val="single"/>
          <w14:textFill>
            <w14:solidFill>
              <w14:schemeClr w14:val="tx1"/>
            </w14:solidFill>
          </w14:textFill>
        </w:rPr>
        <w:t xml:space="preserve">Urusan Pemerintahan Wajib Tidak Berkaitan Pelayanan Dasar : </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Fasilitasi Penerbitan Ijin Usaha Simpan Pinjam untuk Koperasi dengan Wilayah Keanggotaan dalam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Fasilitasi Penerbitan Ijin Pembukaan Kantor Cabang, Cabang Pembantu dan Kantor Kas Usaha Simpan Pinjam oleh Koperasi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Pemeriksaan dan Pengawasan yang dilakukan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Usaha Simpan Pinjam oleh Koperasi yang dinilai kesehatannya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mengikuti pelatihan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jumlah anggota koperasi yang mengikuti pelatihan perkoperasian untuk koperasi dengan Wilayah Keanggotaan lintas Daerah Kabupaten/Kota dalam 1 (satu) daerah propinsi</w:t>
      </w:r>
    </w:p>
    <w:p>
      <w:pPr>
        <w:numPr>
          <w:ilvl w:val="0"/>
          <w:numId w:val="24"/>
        </w:numPr>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telah menyelenggarakan pendidikan dan pelatihan perkoperasian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fasilitasi penerbitan sertifikat Nomor Induk Koperasi (NIK) untuk koperasi dengan Wilayah Keanggotaan lintas Daerah Kabupaten/Kota dalam 1 (satu) daerah propinsi</w:t>
      </w:r>
    </w:p>
    <w:p>
      <w:pPr>
        <w:numPr>
          <w:ilvl w:val="0"/>
          <w:numId w:val="24"/>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diberikan dukungan fasilitasi pembiayaan untuk koperasi dengan Wilayah Keanggotaan lintas Daerah Kabupaten/Kota dalam 1 (satu) daerah propinsi</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diberikan dukungan fasilitasi pemasaran untuk koperasi dengan Wilayah Keanggotaan lintas Daerah Kabupaten/Kota dalam 1 (satu) daerah propinsi</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diberikan dukungan fasilitasi pendampingan kelembagaan dan usaha untuk koperasi dengan Wilayah Keanggotaan lintas Daerah Kabupaten/Kota dalam 1 (satu) daerah propinsi</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koperasi yang diberikan dukungan fasilitasi kemitraan untuk koperasi dengan Wilayah Keanggotaan lintas Daerah Kabupaten/Kota dalam 1 (satu) daerah propinsi</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Rasio Pertumbuhan Wirausaha Baru yang berskala kecil</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jumlah usaha kecil yang diimput ke dalam system online data system (ODS)</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jumah usaha kecil yang bermitra</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Persentase jumah usaha kecil yang diberikan dukungan fasilitasi standarisasi dan sertifikasi produk usaha </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Persentase jumah usaha kecil yang diberikan dukungan fasilitasi pemasaran </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Rasio usaha kecil yang diberikan dukungan fasilitasi pelatihan</w:t>
      </w:r>
    </w:p>
    <w:p>
      <w:pPr>
        <w:numPr>
          <w:ilvl w:val="0"/>
          <w:numId w:val="24"/>
        </w:numPr>
        <w:autoSpaceDE w:val="0"/>
        <w:autoSpaceDN w:val="0"/>
        <w:adjustRightInd w:val="0"/>
        <w:spacing w:after="0" w:line="360" w:lineRule="auto"/>
        <w:ind w:left="1069" w:hanging="50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usaha kecil yang diberikan pendampingan kelembagaan dan usaha</w:t>
      </w:r>
    </w:p>
    <w:p>
      <w:pPr>
        <w:tabs>
          <w:tab w:val="left" w:pos="851"/>
          <w:tab w:val="left" w:pos="1701"/>
        </w:tabs>
        <w:autoSpaceDE w:val="0"/>
        <w:autoSpaceDN w:val="0"/>
        <w:adjustRightInd w:val="0"/>
        <w:spacing w:after="0" w:line="360" w:lineRule="auto"/>
        <w:ind w:left="709"/>
        <w:jc w:val="both"/>
        <w:rPr>
          <w:rFonts w:ascii="Bookman Old Style" w:hAnsi="Bookman Old Style" w:eastAsia="Times New Roman" w:cs="Tahoma"/>
          <w:b/>
          <w:color w:val="000000" w:themeColor="text1"/>
          <w:sz w:val="24"/>
          <w:szCs w:val="24"/>
          <w:u w:val="single"/>
          <w14:textFill>
            <w14:solidFill>
              <w14:schemeClr w14:val="tx1"/>
            </w14:solidFill>
          </w14:textFill>
        </w:rPr>
      </w:pPr>
      <w:r>
        <w:rPr>
          <w:rFonts w:ascii="Bookman Old Style" w:hAnsi="Bookman Old Style" w:eastAsia="Times New Roman" w:cs="Tahoma"/>
          <w:b/>
          <w:color w:val="000000" w:themeColor="text1"/>
          <w:sz w:val="24"/>
          <w:szCs w:val="24"/>
          <w:u w:val="single"/>
          <w14:textFill>
            <w14:solidFill>
              <w14:schemeClr w14:val="tx1"/>
            </w14:solidFill>
          </w14:textFill>
        </w:rPr>
        <w:t>Urusan Pilihan :</w:t>
      </w:r>
    </w:p>
    <w:p>
      <w:pPr>
        <w:numPr>
          <w:ilvl w:val="0"/>
          <w:numId w:val="25"/>
        </w:numPr>
        <w:tabs>
          <w:tab w:val="left" w:pos="851"/>
        </w:tabs>
        <w:autoSpaceDE w:val="0"/>
        <w:autoSpaceDN w:val="0"/>
        <w:adjustRightInd w:val="0"/>
        <w:spacing w:after="0" w:line="360" w:lineRule="auto"/>
        <w:ind w:left="1069" w:hanging="360"/>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pelaku usaha yang memperoleh falisitas promosi dagang</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pelaku usaha yang memperoleh falisitas pengembangan produk</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pelaku usaha yang memperoleh pelatihan/fasilitas peningkatan kapasitas terkait ekspor</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pelaku usaha yang menjadi ekportir baru</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Jumlah kegiatan yang dimaksudkan untuk meningkatkan citra produk ekspor</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Jumlah penanganan pengaduan konsumen</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Jumlah konsumen dan pelaku usaha yang teredukasi</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Jumlah komoditi potensial yang dipantau</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Indeks kinerja BPSMB</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SIUP minuman beralkohol (MB) bebas bea yang diterbitkan</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rekomendasi SIUP MB bagi distributor yang diterbitkan</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SIUP bahan berbahaya bagi pengecer yang diterbitkan</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penerbitan SIUP MB gol. B dan C untuk pengecer dan penjual langsung minum ditempat</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penerbitan SKA yang tepat waktu</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Jumlah barang beredar yag diawasi</w:t>
      </w:r>
    </w:p>
    <w:p>
      <w:pPr>
        <w:numPr>
          <w:ilvl w:val="0"/>
          <w:numId w:val="25"/>
        </w:numPr>
        <w:tabs>
          <w:tab w:val="left" w:pos="851"/>
        </w:tabs>
        <w:autoSpaceDE w:val="0"/>
        <w:autoSpaceDN w:val="0"/>
        <w:adjustRightInd w:val="0"/>
        <w:spacing w:after="0" w:line="360" w:lineRule="auto"/>
        <w:ind w:left="1134" w:hanging="425"/>
        <w:contextualSpacing/>
        <w:jc w:val="both"/>
        <w:rPr>
          <w:rFonts w:ascii="Bookman Old Style" w:hAnsi="Bookman Old Style" w:eastAsia="Times New Roman" w:cs="Tahoma"/>
          <w:color w:val="000000" w:themeColor="text1"/>
          <w:sz w:val="24"/>
          <w:szCs w:val="24"/>
          <w:u w:val="single"/>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terselesaikannya dokumen RPIP sampai dengan ditetapkannya menjadi Perda</w:t>
      </w:r>
    </w:p>
    <w:p>
      <w:pPr>
        <w:tabs>
          <w:tab w:val="left" w:pos="851"/>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12"/>
          <w:szCs w:val="24"/>
          <w14:textFill>
            <w14:solidFill>
              <w14:schemeClr w14:val="tx1"/>
            </w14:solidFill>
          </w14:textFill>
        </w:rPr>
      </w:pP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Capaian Program Prioritas Dinas Perdagangan, Koperasi dan Usaha Kecil dan Menengah Kabupaten Kepulauan Selayar selama Tahun 2015-2020 dapat diuraikan sebagai berikut</w:t>
      </w:r>
    </w:p>
    <w:p>
      <w:pPr>
        <w:tabs>
          <w:tab w:val="left" w:pos="851"/>
        </w:tabs>
        <w:autoSpaceDE w:val="0"/>
        <w:autoSpaceDN w:val="0"/>
        <w:adjustRightInd w:val="0"/>
        <w:spacing w:after="0" w:line="36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Gambar 2.3.1</w:t>
      </w: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cs="Tahoma"/>
          <w:color w:val="000000" w:themeColor="text1"/>
          <w:szCs w:val="24"/>
          <w14:textFill>
            <w14:solidFill>
              <w14:schemeClr w14:val="tx1"/>
            </w14:solidFill>
          </w14:textFill>
        </w:rPr>
        <w:drawing>
          <wp:inline distT="0" distB="0" distL="0" distR="0">
            <wp:extent cx="5534025" cy="2743200"/>
            <wp:effectExtent l="0" t="0" r="9525" b="19050"/>
            <wp:docPr id="16097358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851"/>
        </w:tabs>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567"/>
        </w:tabs>
        <w:autoSpaceDE w:val="0"/>
        <w:autoSpaceDN w:val="0"/>
        <w:adjustRightInd w:val="0"/>
        <w:spacing w:after="0" w:line="360" w:lineRule="auto"/>
        <w:jc w:val="both"/>
        <w:rPr>
          <w:rFonts w:ascii="Bookman Old Style" w:hAnsi="Bookman Old Style" w:eastAsia="Times New Roman" w:cs="Tahoma"/>
          <w:b/>
          <w:color w:val="000000" w:themeColor="text1"/>
          <w:sz w:val="24"/>
          <w:szCs w:val="24"/>
          <w:u w:val="single"/>
          <w14:textFill>
            <w14:solidFill>
              <w14:schemeClr w14:val="tx1"/>
            </w14:solidFill>
          </w14:textFill>
        </w:rPr>
      </w:pPr>
      <w:r>
        <w:rPr>
          <w:rFonts w:ascii="Bookman Old Style" w:hAnsi="Bookman Old Style" w:eastAsia="Times New Roman" w:cs="Tahoma"/>
          <w:b/>
          <w:bCs/>
          <w:color w:val="000000" w:themeColor="text1"/>
          <w:sz w:val="24"/>
          <w:szCs w:val="24"/>
          <w:u w:val="single"/>
          <w14:textFill>
            <w14:solidFill>
              <w14:schemeClr w14:val="tx1"/>
            </w14:solidFill>
          </w14:textFill>
        </w:rPr>
        <w:t>Layanan Urusan Wajib Non Dasar</w:t>
      </w:r>
    </w:p>
    <w:p>
      <w:pPr>
        <w:numPr>
          <w:ilvl w:val="0"/>
          <w:numId w:val="26"/>
        </w:numPr>
        <w:tabs>
          <w:tab w:val="left" w:pos="567"/>
          <w:tab w:val="clear" w:pos="720"/>
        </w:tabs>
        <w:autoSpaceDE w:val="0"/>
        <w:autoSpaceDN w:val="0"/>
        <w:adjustRightInd w:val="0"/>
        <w:spacing w:after="0" w:line="360" w:lineRule="auto"/>
        <w:ind w:left="426" w:hanging="426"/>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Persentase Koperasi Aktif</w:t>
      </w:r>
    </w:p>
    <w:p>
      <w:pPr>
        <w:numPr>
          <w:ilvl w:val="0"/>
          <w:numId w:val="27"/>
        </w:numPr>
        <w:autoSpaceDE w:val="0"/>
        <w:autoSpaceDN w:val="0"/>
        <w:adjustRightInd w:val="0"/>
        <w:spacing w:after="0" w:line="360" w:lineRule="auto"/>
        <w:ind w:left="72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lang w:val="en-GB"/>
          <w14:textFill>
            <w14:solidFill>
              <w14:schemeClr w14:val="tx1"/>
            </w14:solidFill>
          </w14:textFill>
        </w:rPr>
        <w:t>Jumlah koperasi aktif sampai dengan per 31 Desember 2020 adalah sebanyak 136 koperasi dari 165 koperasi yang ada.</w:t>
      </w:r>
    </w:p>
    <w:p>
      <w:pPr>
        <w:numPr>
          <w:ilvl w:val="0"/>
          <w:numId w:val="27"/>
        </w:numPr>
        <w:autoSpaceDE w:val="0"/>
        <w:autoSpaceDN w:val="0"/>
        <w:adjustRightInd w:val="0"/>
        <w:spacing w:after="0" w:line="360" w:lineRule="auto"/>
        <w:ind w:left="72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lang w:val="en-GB"/>
          <w14:textFill>
            <w14:solidFill>
              <w14:schemeClr w14:val="tx1"/>
            </w14:solidFill>
          </w14:textFill>
        </w:rPr>
        <w:t xml:space="preserve">Menerima penghargaan dari Kementerian Koperasi dan UKM Republik Indonesia sejak tahun 2016-2020 </w:t>
      </w:r>
      <w:r>
        <w:rPr>
          <w:rFonts w:ascii="Bookman Old Style" w:hAnsi="Bookman Old Style" w:eastAsia="Times New Roman" w:cs="Tahoma"/>
          <w:bCs/>
          <w:color w:val="000000" w:themeColor="text1"/>
          <w:sz w:val="24"/>
          <w:szCs w:val="24"/>
          <w14:textFill>
            <w14:solidFill>
              <w14:schemeClr w14:val="tx1"/>
            </w14:solidFill>
          </w14:textFill>
        </w:rPr>
        <w:t>sebagai Koperasi Berprestasi yaitu koperasi Kontue Toje’, Koperasi Sadar dan Koperasi Primer Kepolisian.</w:t>
      </w:r>
    </w:p>
    <w:p>
      <w:pPr>
        <w:numPr>
          <w:ilvl w:val="0"/>
          <w:numId w:val="27"/>
        </w:numPr>
        <w:autoSpaceDE w:val="0"/>
        <w:autoSpaceDN w:val="0"/>
        <w:adjustRightInd w:val="0"/>
        <w:spacing w:after="0" w:line="360" w:lineRule="auto"/>
        <w:ind w:left="72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Hasil Pemutakhiran data koperasi se Kabupaten Kepulaua</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bCs/>
          <w:color w:val="000000" w:themeColor="text1"/>
          <w:sz w:val="24"/>
          <w:szCs w:val="24"/>
          <w14:textFill>
            <w14:solidFill>
              <w14:schemeClr w14:val="tx1"/>
            </w14:solidFill>
          </w14:textFill>
        </w:rPr>
        <w:t>Selayar dapat dilihat pada tabel berikut :</w:t>
      </w:r>
    </w:p>
    <w:p>
      <w:pPr>
        <w:spacing w:after="0" w:line="240" w:lineRule="auto"/>
        <w:ind w:left="720"/>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Tabel 2.3.2</w:t>
      </w:r>
    </w:p>
    <w:p>
      <w:pPr>
        <w:spacing w:after="0" w:line="240" w:lineRule="auto"/>
        <w:ind w:left="720"/>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 Tahun 2013 - 2020</w:t>
      </w:r>
    </w:p>
    <w:p>
      <w:pPr>
        <w:spacing w:after="0" w:line="240" w:lineRule="auto"/>
        <w:ind w:left="720"/>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Kabupaten Kepulauan Selayar</w:t>
      </w:r>
    </w:p>
    <w:tbl>
      <w:tblPr>
        <w:tblStyle w:val="4"/>
        <w:tblW w:w="510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975"/>
        <w:gridCol w:w="864"/>
        <w:gridCol w:w="875"/>
        <w:gridCol w:w="830"/>
        <w:gridCol w:w="875"/>
        <w:gridCol w:w="830"/>
        <w:gridCol w:w="1024"/>
        <w:gridCol w:w="940"/>
        <w:gridCol w:w="24"/>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right"/>
        </w:trPr>
        <w:tc>
          <w:tcPr>
            <w:tcW w:w="299" w:type="pct"/>
            <w:shd w:val="clear" w:color="auto" w:fill="C3BD96"/>
            <w:vAlign w:val="center"/>
          </w:tcPr>
          <w:p>
            <w:pPr>
              <w:widowControl w:val="0"/>
              <w:autoSpaceDE w:val="0"/>
              <w:autoSpaceDN w:val="0"/>
              <w:adjustRightInd w:val="0"/>
              <w:snapToGrid w:val="0"/>
              <w:spacing w:after="0" w:line="360" w:lineRule="auto"/>
              <w:ind w:right="-20"/>
              <w:contextualSpacing/>
              <w:jc w:val="center"/>
              <w:rPr>
                <w:rFonts w:ascii="Bookman Old Style" w:hAnsi="Bookman Old Style" w:eastAsia="Times New Roman" w:cs="Arial"/>
                <w:b/>
                <w:color w:val="000000" w:themeColor="text1"/>
                <w:sz w:val="24"/>
                <w:szCs w:val="24"/>
                <w14:textFill>
                  <w14:solidFill>
                    <w14:schemeClr w14:val="tx1"/>
                  </w14:solidFill>
                </w14:textFill>
              </w:rPr>
            </w:pPr>
            <w:r>
              <w:rPr>
                <w:rFonts w:ascii="Bookman Old Style" w:hAnsi="Bookman Old Style" w:eastAsia="Times New Roman" w:cs="Arial"/>
                <w:b/>
                <w:color w:val="000000" w:themeColor="text1"/>
                <w:sz w:val="24"/>
                <w:szCs w:val="24"/>
                <w14:textFill>
                  <w14:solidFill>
                    <w14:schemeClr w14:val="tx1"/>
                  </w14:solidFill>
                </w14:textFill>
              </w:rPr>
              <w:t>NO</w:t>
            </w:r>
          </w:p>
        </w:tc>
        <w:tc>
          <w:tcPr>
            <w:tcW w:w="1005" w:type="pct"/>
            <w:shd w:val="clear" w:color="auto" w:fill="C3BD96"/>
            <w:vAlign w:val="center"/>
          </w:tcPr>
          <w:p>
            <w:pPr>
              <w:tabs>
                <w:tab w:val="left" w:pos="540"/>
              </w:tabs>
              <w:snapToGrid w:val="0"/>
              <w:spacing w:after="0" w:line="360" w:lineRule="auto"/>
              <w:contextualSpacing/>
              <w:jc w:val="center"/>
              <w:rPr>
                <w:rFonts w:ascii="Bookman Old Style" w:hAnsi="Bookman Old Style" w:eastAsia="Times New Roman" w:cs="Arial"/>
                <w:b/>
                <w:color w:val="000000" w:themeColor="text1"/>
                <w:sz w:val="24"/>
                <w:szCs w:val="24"/>
                <w14:textFill>
                  <w14:solidFill>
                    <w14:schemeClr w14:val="tx1"/>
                  </w14:solidFill>
                </w14:textFill>
              </w:rPr>
            </w:pPr>
            <w:r>
              <w:rPr>
                <w:rFonts w:ascii="Bookman Old Style" w:hAnsi="Bookman Old Style" w:eastAsia="Times New Roman" w:cs="Arial"/>
                <w:b/>
                <w:color w:val="000000" w:themeColor="text1"/>
                <w:sz w:val="24"/>
                <w:szCs w:val="24"/>
                <w14:textFill>
                  <w14:solidFill>
                    <w14:schemeClr w14:val="tx1"/>
                  </w14:solidFill>
                </w14:textFill>
              </w:rPr>
              <w:t>Uraian</w:t>
            </w:r>
          </w:p>
        </w:tc>
        <w:tc>
          <w:tcPr>
            <w:tcW w:w="440" w:type="pct"/>
            <w:shd w:val="clear" w:color="auto" w:fill="C3BD96"/>
            <w:vAlign w:val="center"/>
          </w:tcPr>
          <w:p>
            <w:pPr>
              <w:widowControl w:val="0"/>
              <w:autoSpaceDE w:val="0"/>
              <w:autoSpaceDN w:val="0"/>
              <w:adjustRightInd w:val="0"/>
              <w:spacing w:after="0" w:line="360" w:lineRule="auto"/>
              <w:ind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2013</w:t>
            </w:r>
          </w:p>
        </w:tc>
        <w:tc>
          <w:tcPr>
            <w:tcW w:w="445"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2014</w:t>
            </w:r>
          </w:p>
        </w:tc>
        <w:tc>
          <w:tcPr>
            <w:tcW w:w="422"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2015</w:t>
            </w:r>
          </w:p>
        </w:tc>
        <w:tc>
          <w:tcPr>
            <w:tcW w:w="445"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2016</w:t>
            </w:r>
          </w:p>
        </w:tc>
        <w:tc>
          <w:tcPr>
            <w:tcW w:w="422"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2017</w:t>
            </w:r>
          </w:p>
        </w:tc>
        <w:tc>
          <w:tcPr>
            <w:tcW w:w="521"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2018</w:t>
            </w:r>
          </w:p>
        </w:tc>
        <w:tc>
          <w:tcPr>
            <w:tcW w:w="490" w:type="pct"/>
            <w:gridSpan w:val="2"/>
            <w:shd w:val="clear" w:color="auto" w:fill="C3BD96"/>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p>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2019</w:t>
            </w:r>
          </w:p>
        </w:tc>
        <w:tc>
          <w:tcPr>
            <w:tcW w:w="511"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299"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w:t>
            </w:r>
          </w:p>
        </w:tc>
        <w:tc>
          <w:tcPr>
            <w:tcW w:w="1005"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4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129</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135</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130</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136</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145</w:t>
            </w:r>
          </w:p>
        </w:tc>
        <w:tc>
          <w:tcPr>
            <w:tcW w:w="521"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131</w:t>
            </w:r>
          </w:p>
        </w:tc>
        <w:tc>
          <w:tcPr>
            <w:tcW w:w="478"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162</w:t>
            </w:r>
          </w:p>
        </w:tc>
        <w:tc>
          <w:tcPr>
            <w:tcW w:w="515" w:type="pct"/>
            <w:gridSpan w:val="2"/>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299"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2</w:t>
            </w:r>
          </w:p>
        </w:tc>
        <w:tc>
          <w:tcPr>
            <w:tcW w:w="1005"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4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178</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184</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186</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189</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189</w:t>
            </w:r>
          </w:p>
        </w:tc>
        <w:tc>
          <w:tcPr>
            <w:tcW w:w="521"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161</w:t>
            </w:r>
          </w:p>
        </w:tc>
        <w:tc>
          <w:tcPr>
            <w:tcW w:w="478"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81,48</w:t>
            </w:r>
          </w:p>
        </w:tc>
        <w:tc>
          <w:tcPr>
            <w:tcW w:w="515" w:type="pct"/>
            <w:gridSpan w:val="2"/>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299"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3</w:t>
            </w:r>
          </w:p>
        </w:tc>
        <w:tc>
          <w:tcPr>
            <w:tcW w:w="1005"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4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72,47</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73,37</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69,89</w:t>
            </w:r>
          </w:p>
        </w:tc>
        <w:tc>
          <w:tcPr>
            <w:tcW w:w="445"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71,96</w:t>
            </w:r>
          </w:p>
        </w:tc>
        <w:tc>
          <w:tcPr>
            <w:tcW w:w="42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76,72</w:t>
            </w:r>
          </w:p>
        </w:tc>
        <w:tc>
          <w:tcPr>
            <w:tcW w:w="521"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81,37</w:t>
            </w:r>
          </w:p>
        </w:tc>
        <w:tc>
          <w:tcPr>
            <w:tcW w:w="478"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132</w:t>
            </w:r>
          </w:p>
        </w:tc>
        <w:tc>
          <w:tcPr>
            <w:tcW w:w="515" w:type="pct"/>
            <w:gridSpan w:val="2"/>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82,42</w:t>
            </w:r>
          </w:p>
        </w:tc>
      </w:tr>
    </w:tbl>
    <w:p>
      <w:pPr>
        <w:spacing w:after="0" w:line="360" w:lineRule="auto"/>
        <w:rPr>
          <w:rFonts w:ascii="Bookman Old Style" w:hAnsi="Bookman Old Style" w:eastAsia="Times New Roman" w:cs="Arial"/>
          <w:color w:val="000000" w:themeColor="text1"/>
          <w:sz w:val="24"/>
          <w:szCs w:val="24"/>
          <w14:textFill>
            <w14:solidFill>
              <w14:schemeClr w14:val="tx1"/>
            </w14:solidFill>
          </w14:textFill>
        </w:rPr>
      </w:pPr>
    </w:p>
    <w:p>
      <w:pPr>
        <w:spacing w:after="0" w:line="240" w:lineRule="auto"/>
        <w:ind w:left="720"/>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Tabel 2.3.3</w:t>
      </w:r>
    </w:p>
    <w:p>
      <w:pPr>
        <w:snapToGrid w:val="0"/>
        <w:spacing w:after="0" w:line="240" w:lineRule="auto"/>
        <w:ind w:left="720" w:right="8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 Menurut Kecamatan Tahun 2013 - 2020</w:t>
      </w:r>
    </w:p>
    <w:p>
      <w:pPr>
        <w:tabs>
          <w:tab w:val="center" w:pos="5109"/>
          <w:tab w:val="left" w:pos="6209"/>
        </w:tabs>
        <w:snapToGrid w:val="0"/>
        <w:spacing w:after="0" w:line="240" w:lineRule="auto"/>
        <w:ind w:left="360" w:right="85"/>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Kabupaten Kepulauan Selayar</w:t>
      </w:r>
    </w:p>
    <w:tbl>
      <w:tblPr>
        <w:tblStyle w:val="4"/>
        <w:tblW w:w="4912"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2333"/>
        <w:gridCol w:w="831"/>
        <w:gridCol w:w="841"/>
        <w:gridCol w:w="804"/>
        <w:gridCol w:w="841"/>
        <w:gridCol w:w="819"/>
        <w:gridCol w:w="804"/>
        <w:gridCol w:w="809"/>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right"/>
        </w:trPr>
        <w:tc>
          <w:tcPr>
            <w:tcW w:w="286" w:type="pct"/>
            <w:shd w:val="clear" w:color="auto" w:fill="C3BD96"/>
            <w:vAlign w:val="center"/>
          </w:tcPr>
          <w:p>
            <w:pPr>
              <w:widowControl w:val="0"/>
              <w:autoSpaceDE w:val="0"/>
              <w:autoSpaceDN w:val="0"/>
              <w:adjustRightInd w:val="0"/>
              <w:snapToGrid w:val="0"/>
              <w:spacing w:after="0" w:line="360" w:lineRule="auto"/>
              <w:ind w:right="-20"/>
              <w:contextualSpacing/>
              <w:jc w:val="center"/>
              <w:rPr>
                <w:rFonts w:ascii="Bookman Old Style" w:hAnsi="Bookman Old Style" w:eastAsia="Times New Roman" w:cs="Arial"/>
                <w:b/>
                <w:color w:val="000000" w:themeColor="text1"/>
                <w:sz w:val="24"/>
                <w:szCs w:val="24"/>
                <w14:textFill>
                  <w14:solidFill>
                    <w14:schemeClr w14:val="tx1"/>
                  </w14:solidFill>
                </w14:textFill>
              </w:rPr>
            </w:pPr>
            <w:r>
              <w:rPr>
                <w:rFonts w:ascii="Bookman Old Style" w:hAnsi="Bookman Old Style" w:eastAsia="Times New Roman" w:cs="Arial"/>
                <w:b/>
                <w:color w:val="000000" w:themeColor="text1"/>
                <w:sz w:val="24"/>
                <w:szCs w:val="24"/>
                <w14:textFill>
                  <w14:solidFill>
                    <w14:schemeClr w14:val="tx1"/>
                  </w14:solidFill>
                </w14:textFill>
              </w:rPr>
              <w:t>NO</w:t>
            </w:r>
          </w:p>
        </w:tc>
        <w:tc>
          <w:tcPr>
            <w:tcW w:w="1259" w:type="pct"/>
            <w:shd w:val="clear" w:color="auto" w:fill="C3BD96"/>
            <w:vAlign w:val="center"/>
          </w:tcPr>
          <w:p>
            <w:pPr>
              <w:tabs>
                <w:tab w:val="left" w:pos="540"/>
              </w:tabs>
              <w:snapToGrid w:val="0"/>
              <w:spacing w:after="0" w:line="360" w:lineRule="auto"/>
              <w:contextualSpacing/>
              <w:jc w:val="center"/>
              <w:rPr>
                <w:rFonts w:ascii="Bookman Old Style" w:hAnsi="Bookman Old Style" w:eastAsia="Times New Roman" w:cs="Arial"/>
                <w:b/>
                <w:color w:val="000000" w:themeColor="text1"/>
                <w:sz w:val="24"/>
                <w:szCs w:val="24"/>
                <w14:textFill>
                  <w14:solidFill>
                    <w14:schemeClr w14:val="tx1"/>
                  </w14:solidFill>
                </w14:textFill>
              </w:rPr>
            </w:pPr>
            <w:r>
              <w:rPr>
                <w:rFonts w:ascii="Bookman Old Style" w:hAnsi="Bookman Old Style" w:eastAsia="Times New Roman" w:cs="Arial"/>
                <w:b/>
                <w:color w:val="000000" w:themeColor="text1"/>
                <w:sz w:val="24"/>
                <w:szCs w:val="24"/>
                <w14:textFill>
                  <w14:solidFill>
                    <w14:schemeClr w14:val="tx1"/>
                  </w14:solidFill>
                </w14:textFill>
              </w:rPr>
              <w:t>Kecamatan</w:t>
            </w:r>
          </w:p>
        </w:tc>
        <w:tc>
          <w:tcPr>
            <w:tcW w:w="452" w:type="pct"/>
            <w:shd w:val="clear" w:color="auto" w:fill="C3BD96"/>
            <w:vAlign w:val="center"/>
          </w:tcPr>
          <w:p>
            <w:pPr>
              <w:widowControl w:val="0"/>
              <w:autoSpaceDE w:val="0"/>
              <w:autoSpaceDN w:val="0"/>
              <w:adjustRightInd w:val="0"/>
              <w:spacing w:after="0" w:line="360" w:lineRule="auto"/>
              <w:ind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2013</w:t>
            </w:r>
          </w:p>
        </w:tc>
        <w:tc>
          <w:tcPr>
            <w:tcW w:w="408"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2014</w:t>
            </w:r>
          </w:p>
        </w:tc>
        <w:tc>
          <w:tcPr>
            <w:tcW w:w="424"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2015</w:t>
            </w:r>
          </w:p>
        </w:tc>
        <w:tc>
          <w:tcPr>
            <w:tcW w:w="430"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2016</w:t>
            </w:r>
          </w:p>
        </w:tc>
        <w:tc>
          <w:tcPr>
            <w:tcW w:w="471"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2017</w:t>
            </w:r>
          </w:p>
        </w:tc>
        <w:tc>
          <w:tcPr>
            <w:tcW w:w="398" w:type="pct"/>
            <w:shd w:val="clear" w:color="auto" w:fill="C3BD96"/>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2018</w:t>
            </w:r>
          </w:p>
        </w:tc>
        <w:tc>
          <w:tcPr>
            <w:tcW w:w="453" w:type="pct"/>
            <w:shd w:val="clear" w:color="auto" w:fill="C3BD96"/>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2019</w:t>
            </w:r>
          </w:p>
        </w:tc>
        <w:tc>
          <w:tcPr>
            <w:tcW w:w="419" w:type="pct"/>
            <w:shd w:val="clear" w:color="auto" w:fill="C3BD96"/>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Arial"/>
                <w:b/>
                <w:bCs/>
                <w:color w:val="000000" w:themeColor="text1"/>
                <w:sz w:val="24"/>
                <w:szCs w:val="24"/>
                <w14:textFill>
                  <w14:solidFill>
                    <w14:schemeClr w14:val="tx1"/>
                  </w14:solidFill>
                </w14:textFill>
              </w:rPr>
            </w:pPr>
            <w:r>
              <w:rPr>
                <w:rFonts w:ascii="Bookman Old Style" w:hAnsi="Bookman Old Style" w:eastAsia="Times New Roman" w:cs="Arial"/>
                <w:b/>
                <w:bCs/>
                <w:color w:val="000000" w:themeColor="text1"/>
                <w:sz w:val="24"/>
                <w:szCs w:val="24"/>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Benteng</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45</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48</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43</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48</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57</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44</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44</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79</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82</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84</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86</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86</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63</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63</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56,96</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58,54</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57,14</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55,81</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66,28</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69,84</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69,84</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72,30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2</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Bontoharu</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81,82</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81,82</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90</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90</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3</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Bontomanai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12</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12</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76,92</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78,57</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78,57</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78,57</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78,57</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83,33</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83,33</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Bontomatene</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18</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18</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83,33</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88,89</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88,89</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Buki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15</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80</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80</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80</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Bontosikuyu</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12</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15</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85,71</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85,71</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85,71</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85,71</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85,71</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80</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81</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Pasimasunggu</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7</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7</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87,5</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87,5</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87,5</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87,5</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87,5</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87,5</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87,5</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Pastim</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4</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66,67</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66,67</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66,67</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66,67</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66,67</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Pasimarannu</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w:t>
            </w: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Takabonerate</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9</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9</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100</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11</w:t>
            </w: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Kecamatan Pasilambena</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5</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Jumlah koperasi</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Persentase koperasi aktif</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83,3</w:t>
            </w:r>
          </w:p>
        </w:tc>
        <w:tc>
          <w:tcPr>
            <w:tcW w:w="398" w:type="pct"/>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83,3</w:t>
            </w:r>
          </w:p>
        </w:tc>
        <w:tc>
          <w:tcPr>
            <w:tcW w:w="453" w:type="pct"/>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83,3</w:t>
            </w:r>
          </w:p>
        </w:tc>
        <w:tc>
          <w:tcPr>
            <w:tcW w:w="419" w:type="pct"/>
            <w:tcBorders>
              <w:top w:val="single" w:color="auto" w:sz="4" w:space="0"/>
              <w:left w:val="single" w:color="auto" w:sz="4" w:space="0"/>
              <w:bottom w:val="single" w:color="auto" w:sz="4" w:space="0"/>
              <w:right w:val="single" w:color="auto" w:sz="4" w:space="0"/>
            </w:tcBorders>
            <w:shd w:val="clear" w:color="auto" w:fill="auto"/>
          </w:tcPr>
          <w:p>
            <w:pPr>
              <w:widowControl w:val="0"/>
              <w:tabs>
                <w:tab w:val="center" w:pos="271"/>
              </w:tabs>
              <w:autoSpaceDE w:val="0"/>
              <w:autoSpaceDN w:val="0"/>
              <w:adjustRightInd w:val="0"/>
              <w:snapToGrid w:val="0"/>
              <w:spacing w:after="0" w:line="360" w:lineRule="auto"/>
              <w:ind w:right="-20" w:hanging="65"/>
              <w:contextualSpacing/>
              <w:rPr>
                <w:rFonts w:ascii="Bookman Old Style" w:hAnsi="Bookman Old Style" w:eastAsia="Times New Roman" w:cs="Arial"/>
                <w:color w:val="000000" w:themeColor="text1"/>
                <w:sz w:val="14"/>
                <w:szCs w:val="1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ab/>
            </w:r>
          </w:p>
          <w:p>
            <w:pPr>
              <w:widowControl w:val="0"/>
              <w:tabs>
                <w:tab w:val="center" w:pos="271"/>
              </w:tabs>
              <w:autoSpaceDE w:val="0"/>
              <w:autoSpaceDN w:val="0"/>
              <w:adjustRightInd w:val="0"/>
              <w:snapToGrid w:val="0"/>
              <w:spacing w:after="0" w:line="360" w:lineRule="auto"/>
              <w:ind w:right="-20" w:hanging="65"/>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Total Jumlah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129</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135</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130</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136</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145</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131</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132</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Total Jumlah koperasi</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178</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184</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186</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189</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189</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161</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162</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14"/>
                <w:szCs w:val="1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right"/>
        </w:trPr>
        <w:tc>
          <w:tcPr>
            <w:tcW w:w="28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p>
        </w:tc>
        <w:tc>
          <w:tcPr>
            <w:tcW w:w="1259"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Total Persentase koperasi aktif</w:t>
            </w:r>
          </w:p>
        </w:tc>
        <w:tc>
          <w:tcPr>
            <w:tcW w:w="452"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72,47</w:t>
            </w:r>
          </w:p>
        </w:tc>
        <w:tc>
          <w:tcPr>
            <w:tcW w:w="408"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73,37</w:t>
            </w:r>
          </w:p>
        </w:tc>
        <w:tc>
          <w:tcPr>
            <w:tcW w:w="424"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69,89</w:t>
            </w:r>
          </w:p>
        </w:tc>
        <w:tc>
          <w:tcPr>
            <w:tcW w:w="430"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71,96</w:t>
            </w:r>
          </w:p>
        </w:tc>
        <w:tc>
          <w:tcPr>
            <w:tcW w:w="471" w:type="pct"/>
            <w:shd w:val="clear" w:color="auto" w:fill="auto"/>
            <w:vAlign w:val="center"/>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14:textFill>
                  <w14:solidFill>
                    <w14:schemeClr w14:val="tx1"/>
                  </w14:solidFill>
                </w14:textFill>
              </w:rPr>
              <w:t>76,72</w:t>
            </w:r>
          </w:p>
        </w:tc>
        <w:tc>
          <w:tcPr>
            <w:tcW w:w="398"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81,37</w:t>
            </w:r>
          </w:p>
        </w:tc>
        <w:tc>
          <w:tcPr>
            <w:tcW w:w="453"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81,48</w:t>
            </w:r>
          </w:p>
        </w:tc>
        <w:tc>
          <w:tcPr>
            <w:tcW w:w="419"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lang w:eastAsia="zh-CN"/>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eastAsia="Times New Roman" w:cs="Arial"/>
                <w:color w:val="000000" w:themeColor="text1"/>
                <w:sz w:val="24"/>
                <w:szCs w:val="24"/>
                <w:lang w:eastAsia="zh-CN"/>
                <w14:textFill>
                  <w14:solidFill>
                    <w14:schemeClr w14:val="tx1"/>
                  </w14:solidFill>
                </w14:textFill>
              </w:rPr>
              <w:t>82,42</w:t>
            </w:r>
          </w:p>
        </w:tc>
      </w:tr>
    </w:tbl>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84"/>
        </w:tabs>
        <w:autoSpaceDE w:val="0"/>
        <w:autoSpaceDN w:val="0"/>
        <w:adjustRightInd w:val="0"/>
        <w:spacing w:after="0" w:line="360" w:lineRule="auto"/>
        <w:ind w:left="426"/>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Beberapa faktor penghambat yang menjadi kendala dalam pencapaian sasaran kinerja adalah sebagai berikut :</w:t>
      </w:r>
    </w:p>
    <w:p>
      <w:pPr>
        <w:numPr>
          <w:ilvl w:val="0"/>
          <w:numId w:val="28"/>
        </w:numPr>
        <w:tabs>
          <w:tab w:val="left" w:pos="851"/>
          <w:tab w:val="left" w:pos="1701"/>
        </w:tabs>
        <w:autoSpaceDE w:val="0"/>
        <w:autoSpaceDN w:val="0"/>
        <w:adjustRightInd w:val="0"/>
        <w:spacing w:before="240" w:after="0" w:line="360" w:lineRule="auto"/>
        <w:ind w:left="861" w:hanging="43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Banyaknya koperasi yang kondisinya sudah tidak sehat, karena kurang dikuasainya manajemen koperasi oleh pengurus maupun anggota</w:t>
      </w:r>
    </w:p>
    <w:p>
      <w:pPr>
        <w:numPr>
          <w:ilvl w:val="0"/>
          <w:numId w:val="28"/>
        </w:numPr>
        <w:tabs>
          <w:tab w:val="left" w:pos="851"/>
          <w:tab w:val="left" w:pos="1701"/>
        </w:tabs>
        <w:autoSpaceDE w:val="0"/>
        <w:autoSpaceDN w:val="0"/>
        <w:adjustRightInd w:val="0"/>
        <w:spacing w:before="240" w:after="0" w:line="360" w:lineRule="auto"/>
        <w:ind w:left="861" w:hanging="43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Masih banyak Koperasi yang memerlukan bantuan fasilitas dalam mengembangkan usahanya</w:t>
      </w:r>
    </w:p>
    <w:p>
      <w:pPr>
        <w:numPr>
          <w:ilvl w:val="0"/>
          <w:numId w:val="28"/>
        </w:numPr>
        <w:tabs>
          <w:tab w:val="left" w:pos="851"/>
          <w:tab w:val="left" w:pos="1701"/>
        </w:tabs>
        <w:autoSpaceDE w:val="0"/>
        <w:autoSpaceDN w:val="0"/>
        <w:adjustRightInd w:val="0"/>
        <w:spacing w:before="240" w:after="0" w:line="360" w:lineRule="auto"/>
        <w:ind w:left="861" w:hanging="43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Akses pelaku usaha Koperasi terhadap layanan perbankan relatif rendah. </w:t>
      </w:r>
    </w:p>
    <w:p>
      <w:pPr>
        <w:tabs>
          <w:tab w:val="left" w:pos="993"/>
        </w:tabs>
        <w:autoSpaceDE w:val="0"/>
        <w:autoSpaceDN w:val="0"/>
        <w:adjustRightInd w:val="0"/>
        <w:spacing w:after="0" w:line="360" w:lineRule="auto"/>
        <w:ind w:left="426"/>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Langkah-langkah kedepan yang harus dilakukan oleh Dinas Perdagangan, Koperasi dan Usaha Kecil dan Menengah dalam memperbaiki kinerja dan menghadapi tantangan kedepan, antara lain :</w:t>
      </w:r>
    </w:p>
    <w:p>
      <w:pPr>
        <w:numPr>
          <w:ilvl w:val="0"/>
          <w:numId w:val="29"/>
        </w:numPr>
        <w:autoSpaceDE w:val="0"/>
        <w:autoSpaceDN w:val="0"/>
        <w:adjustRightInd w:val="0"/>
        <w:spacing w:before="240" w:after="0" w:line="360" w:lineRule="auto"/>
        <w:ind w:left="720" w:hanging="360"/>
        <w:contextualSpacing/>
        <w:jc w:val="both"/>
        <w:rPr>
          <w:rFonts w:ascii="Bookman Old Style" w:hAnsi="Bookman Old Style" w:eastAsia="Times New Roman" w:cs="Tahoma"/>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penyuluhan, pembinaan dan pelatihan kepada Koperasi yang kondisinya sudah tidak sehat</w:t>
      </w:r>
    </w:p>
    <w:p>
      <w:pPr>
        <w:numPr>
          <w:ilvl w:val="0"/>
          <w:numId w:val="29"/>
        </w:numPr>
        <w:autoSpaceDE w:val="0"/>
        <w:autoSpaceDN w:val="0"/>
        <w:adjustRightInd w:val="0"/>
        <w:spacing w:before="240" w:after="0" w:line="360" w:lineRule="auto"/>
        <w:ind w:left="720" w:hanging="360"/>
        <w:contextualSpacing/>
        <w:jc w:val="both"/>
        <w:rPr>
          <w:rFonts w:ascii="Bookman Old Style" w:hAnsi="Bookman Old Style" w:eastAsia="Times New Roman" w:cs="Tahoma"/>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Mencari peluang anggaran pembinaan baik ke APBD Provinsi maupun APBN </w:t>
      </w:r>
    </w:p>
    <w:p>
      <w:pPr>
        <w:numPr>
          <w:ilvl w:val="0"/>
          <w:numId w:val="29"/>
        </w:numPr>
        <w:autoSpaceDE w:val="0"/>
        <w:autoSpaceDN w:val="0"/>
        <w:adjustRightInd w:val="0"/>
        <w:spacing w:before="240" w:after="0" w:line="360" w:lineRule="auto"/>
        <w:ind w:left="720" w:hanging="360"/>
        <w:contextualSpacing/>
        <w:jc w:val="both"/>
        <w:rPr>
          <w:rFonts w:ascii="Bookman Old Style" w:hAnsi="Bookman Old Style" w:eastAsia="Times New Roman" w:cs="Tahoma"/>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akses pelaku usaha Koperasi dan UMKM terhadap layanan perbankan.</w:t>
      </w:r>
    </w:p>
    <w:p>
      <w:pPr>
        <w:numPr>
          <w:ilvl w:val="0"/>
          <w:numId w:val="29"/>
        </w:numPr>
        <w:autoSpaceDE w:val="0"/>
        <w:autoSpaceDN w:val="0"/>
        <w:adjustRightInd w:val="0"/>
        <w:spacing w:before="240" w:after="0" w:line="360" w:lineRule="auto"/>
        <w:ind w:left="72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Mengefektifkan penggunaan anggaran dalam setiap pelaksanaan kegiat</w:t>
      </w:r>
    </w:p>
    <w:p>
      <w:pPr>
        <w:autoSpaceDE w:val="0"/>
        <w:autoSpaceDN w:val="0"/>
        <w:adjustRightInd w:val="0"/>
        <w:spacing w:before="240" w:after="0" w:line="360" w:lineRule="auto"/>
        <w:ind w:left="72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0"/>
          <w:numId w:val="26"/>
        </w:numPr>
        <w:tabs>
          <w:tab w:val="left" w:pos="567"/>
          <w:tab w:val="clear" w:pos="720"/>
        </w:tabs>
        <w:autoSpaceDE w:val="0"/>
        <w:autoSpaceDN w:val="0"/>
        <w:adjustRightInd w:val="0"/>
        <w:spacing w:after="0" w:line="360" w:lineRule="auto"/>
        <w:ind w:left="426" w:hanging="426"/>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Persentase UKM non BPR/LKM aktif </w:t>
      </w:r>
    </w:p>
    <w:p>
      <w:pPr>
        <w:tabs>
          <w:tab w:val="left" w:pos="1276"/>
        </w:tabs>
        <w:autoSpaceDE w:val="0"/>
        <w:autoSpaceDN w:val="0"/>
        <w:adjustRightInd w:val="0"/>
        <w:spacing w:after="0" w:line="360" w:lineRule="auto"/>
        <w:ind w:left="426"/>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Persentase Usaha Mikro Kecil dan Menengah sangat baik yakni 100 persen ini menunjukkan aktifitas para pelaku usaha mikro kecil dan menengah, mampu bertahan dimasa krisis akibat pandemi                            Covid – 19. Persentase UKM non BPR/LKM aktif menurut kecamatan dapat dilihat pada Tabel 2.3.4.</w:t>
      </w:r>
    </w:p>
    <w:p>
      <w:pPr>
        <w:tabs>
          <w:tab w:val="left" w:pos="1276"/>
        </w:tabs>
        <w:autoSpaceDE w:val="0"/>
        <w:autoSpaceDN w:val="0"/>
        <w:adjustRightInd w:val="0"/>
        <w:spacing w:after="0" w:line="360" w:lineRule="auto"/>
        <w:ind w:left="426"/>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after="0" w:line="360" w:lineRule="auto"/>
        <w:ind w:left="426"/>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after="0" w:line="360" w:lineRule="auto"/>
        <w:ind w:left="426"/>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276"/>
        </w:tabs>
        <w:autoSpaceDE w:val="0"/>
        <w:autoSpaceDN w:val="0"/>
        <w:adjustRightInd w:val="0"/>
        <w:spacing w:after="0" w:line="360" w:lineRule="auto"/>
        <w:ind w:left="426"/>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2.3.4.</w:t>
      </w:r>
    </w:p>
    <w:p>
      <w:pPr>
        <w:spacing w:after="0" w:line="0" w:lineRule="atLeast"/>
        <w:ind w:right="-499"/>
        <w:jc w:val="center"/>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Persentase UKM non BPR/LKM Aktif Menurut Kecamatan</w:t>
      </w:r>
    </w:p>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p>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p>
    <w:tbl>
      <w:tblPr>
        <w:tblStyle w:val="4"/>
        <w:tblW w:w="8960" w:type="dxa"/>
        <w:tblInd w:w="490" w:type="dxa"/>
        <w:tblLayout w:type="fixed"/>
        <w:tblCellMar>
          <w:top w:w="0" w:type="dxa"/>
          <w:left w:w="0" w:type="dxa"/>
          <w:bottom w:w="0" w:type="dxa"/>
          <w:right w:w="0" w:type="dxa"/>
        </w:tblCellMar>
      </w:tblPr>
      <w:tblGrid>
        <w:gridCol w:w="420"/>
        <w:gridCol w:w="40"/>
        <w:gridCol w:w="2820"/>
        <w:gridCol w:w="1140"/>
        <w:gridCol w:w="1140"/>
        <w:gridCol w:w="1120"/>
        <w:gridCol w:w="1140"/>
        <w:gridCol w:w="1140"/>
      </w:tblGrid>
      <w:tr>
        <w:tblPrEx>
          <w:tblCellMar>
            <w:top w:w="0" w:type="dxa"/>
            <w:left w:w="0" w:type="dxa"/>
            <w:bottom w:w="0" w:type="dxa"/>
            <w:right w:w="0" w:type="dxa"/>
          </w:tblCellMar>
        </w:tblPrEx>
        <w:trPr>
          <w:trHeight w:val="166" w:hRule="atLeast"/>
        </w:trPr>
        <w:tc>
          <w:tcPr>
            <w:tcW w:w="420" w:type="dxa"/>
            <w:vMerge w:val="restart"/>
            <w:tcBorders>
              <w:top w:val="single" w:color="auto" w:sz="8" w:space="0"/>
              <w:left w:val="single" w:color="auto" w:sz="8" w:space="0"/>
              <w:right w:val="nil"/>
            </w:tcBorders>
            <w:shd w:val="clear" w:color="auto" w:fill="95B3D7"/>
            <w:vAlign w:val="center"/>
          </w:tcPr>
          <w:p>
            <w:pPr>
              <w:spacing w:after="0" w:line="0" w:lineRule="atLeast"/>
              <w:ind w:left="60"/>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No</w:t>
            </w:r>
          </w:p>
        </w:tc>
        <w:tc>
          <w:tcPr>
            <w:tcW w:w="40" w:type="dxa"/>
            <w:tcBorders>
              <w:top w:val="single" w:color="auto" w:sz="8" w:space="0"/>
              <w:left w:val="nil"/>
              <w:bottom w:val="nil"/>
              <w:right w:val="single" w:color="auto" w:sz="8" w:space="0"/>
            </w:tcBorders>
            <w:vAlign w:val="center"/>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vMerge w:val="restart"/>
            <w:tcBorders>
              <w:top w:val="single" w:color="auto" w:sz="8" w:space="0"/>
              <w:left w:val="nil"/>
              <w:right w:val="single" w:color="auto" w:sz="8" w:space="0"/>
            </w:tcBorders>
            <w:shd w:val="clear" w:color="auto" w:fill="95B3D7"/>
            <w:vAlign w:val="center"/>
          </w:tcPr>
          <w:p>
            <w:pPr>
              <w:spacing w:after="0" w:line="0" w:lineRule="atLeast"/>
              <w:ind w:left="760"/>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Kecamatan</w:t>
            </w:r>
          </w:p>
        </w:tc>
        <w:tc>
          <w:tcPr>
            <w:tcW w:w="5680" w:type="dxa"/>
            <w:gridSpan w:val="5"/>
            <w:vMerge w:val="restart"/>
            <w:tcBorders>
              <w:top w:val="single" w:color="auto" w:sz="8" w:space="0"/>
              <w:left w:val="nil"/>
              <w:right w:val="single" w:color="auto" w:sz="8" w:space="0"/>
            </w:tcBorders>
            <w:shd w:val="clear" w:color="auto" w:fill="95B3D7"/>
            <w:vAlign w:val="center"/>
          </w:tcPr>
          <w:p>
            <w:pPr>
              <w:spacing w:after="0" w:line="0" w:lineRule="atLeast"/>
              <w:jc w:val="center"/>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Tahun</w:t>
            </w:r>
          </w:p>
        </w:tc>
      </w:tr>
      <w:tr>
        <w:tblPrEx>
          <w:tblCellMar>
            <w:top w:w="0" w:type="dxa"/>
            <w:left w:w="0" w:type="dxa"/>
            <w:bottom w:w="0" w:type="dxa"/>
            <w:right w:w="0" w:type="dxa"/>
          </w:tblCellMar>
        </w:tblPrEx>
        <w:trPr>
          <w:trHeight w:val="144" w:hRule="atLeast"/>
        </w:trPr>
        <w:tc>
          <w:tcPr>
            <w:tcW w:w="420" w:type="dxa"/>
            <w:vMerge w:val="continue"/>
            <w:tcBorders>
              <w:left w:val="single" w:color="auto" w:sz="8" w:space="0"/>
              <w:right w:val="nil"/>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vMerge w:val="continue"/>
            <w:tcBorders>
              <w:left w:val="nil"/>
              <w:right w:val="single" w:color="auto" w:sz="8" w:space="0"/>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5680" w:type="dxa"/>
            <w:gridSpan w:val="5"/>
            <w:vMerge w:val="continue"/>
            <w:tcBorders>
              <w:left w:val="nil"/>
              <w:bottom w:val="single" w:color="auto" w:sz="8" w:space="0"/>
              <w:right w:val="single" w:color="auto" w:sz="8" w:space="0"/>
            </w:tcBorders>
            <w:shd w:val="clear" w:color="auto" w:fill="95B3D7"/>
            <w:vAlign w:val="center"/>
          </w:tcPr>
          <w:p>
            <w:pPr>
              <w:spacing w:after="0" w:line="0" w:lineRule="atLeast"/>
              <w:jc w:val="center"/>
              <w:rPr>
                <w:rFonts w:ascii="Bookman Old Style" w:hAnsi="Bookman Old Style" w:eastAsia="Times New Roman" w:cs="Times New Roman"/>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02" w:hRule="atLeast"/>
        </w:trPr>
        <w:tc>
          <w:tcPr>
            <w:tcW w:w="420" w:type="dxa"/>
            <w:vMerge w:val="continue"/>
            <w:tcBorders>
              <w:left w:val="single" w:color="auto" w:sz="8" w:space="0"/>
              <w:right w:val="nil"/>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vMerge w:val="continue"/>
            <w:tcBorders>
              <w:left w:val="nil"/>
              <w:right w:val="single" w:color="auto" w:sz="8" w:space="0"/>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2016</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2017</w:t>
            </w:r>
          </w:p>
        </w:tc>
        <w:tc>
          <w:tcPr>
            <w:tcW w:w="112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2018</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2019</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2020</w:t>
            </w:r>
          </w:p>
        </w:tc>
      </w:tr>
      <w:tr>
        <w:tblPrEx>
          <w:tblCellMar>
            <w:top w:w="0" w:type="dxa"/>
            <w:left w:w="0" w:type="dxa"/>
            <w:bottom w:w="0" w:type="dxa"/>
            <w:right w:w="0" w:type="dxa"/>
          </w:tblCellMar>
        </w:tblPrEx>
        <w:trPr>
          <w:trHeight w:val="166" w:hRule="atLeast"/>
        </w:trPr>
        <w:tc>
          <w:tcPr>
            <w:tcW w:w="420" w:type="dxa"/>
            <w:vMerge w:val="continue"/>
            <w:tcBorders>
              <w:left w:val="single" w:color="auto" w:sz="8" w:space="0"/>
              <w:bottom w:val="single" w:color="auto" w:sz="4" w:space="0"/>
              <w:right w:val="nil"/>
            </w:tcBorders>
            <w:shd w:val="clear" w:color="auto" w:fill="95B3D7"/>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40" w:type="dxa"/>
            <w:tcBorders>
              <w:top w:val="nil"/>
              <w:left w:val="nil"/>
              <w:bottom w:val="single" w:color="auto" w:sz="4" w:space="0"/>
              <w:right w:val="single" w:color="auto" w:sz="8"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vMerge w:val="continue"/>
            <w:tcBorders>
              <w:left w:val="nil"/>
              <w:bottom w:val="single" w:color="auto" w:sz="4" w:space="0"/>
              <w:right w:val="single" w:color="auto" w:sz="8" w:space="0"/>
            </w:tcBorders>
            <w:shd w:val="clear" w:color="auto" w:fill="95B3D7"/>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1140" w:type="dxa"/>
            <w:vMerge w:val="continue"/>
            <w:tcBorders>
              <w:top w:val="single" w:color="95B3D7" w:sz="8" w:space="0"/>
              <w:left w:val="nil"/>
              <w:bottom w:val="single" w:color="auto" w:sz="4" w:space="0"/>
              <w:right w:val="single" w:color="auto" w:sz="8" w:space="0"/>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1140" w:type="dxa"/>
            <w:vMerge w:val="continue"/>
            <w:tcBorders>
              <w:top w:val="single" w:color="95B3D7" w:sz="8" w:space="0"/>
              <w:left w:val="nil"/>
              <w:bottom w:val="single" w:color="auto" w:sz="4" w:space="0"/>
              <w:right w:val="single" w:color="auto" w:sz="8" w:space="0"/>
            </w:tcBorders>
            <w:vAlign w:val="center"/>
          </w:tcPr>
          <w:p>
            <w:pPr>
              <w:spacing w:after="0" w:line="240" w:lineRule="auto"/>
              <w:rPr>
                <w:rFonts w:ascii="Bookman Old Style" w:hAnsi="Bookman Old Style" w:eastAsia="Arial" w:cs="Times New Roman"/>
                <w:b/>
                <w:color w:val="000000" w:themeColor="text1"/>
                <w:sz w:val="24"/>
                <w:szCs w:val="24"/>
                <w14:textFill>
                  <w14:solidFill>
                    <w14:schemeClr w14:val="tx1"/>
                  </w14:solidFill>
                </w14:textFill>
              </w:rPr>
            </w:pPr>
          </w:p>
        </w:tc>
        <w:tc>
          <w:tcPr>
            <w:tcW w:w="1120" w:type="dxa"/>
            <w:vMerge w:val="continue"/>
            <w:tcBorders>
              <w:top w:val="single" w:color="95B3D7" w:sz="8" w:space="0"/>
              <w:left w:val="nil"/>
              <w:bottom w:val="single" w:color="auto" w:sz="4" w:space="0"/>
              <w:right w:val="single" w:color="auto" w:sz="8" w:space="0"/>
            </w:tcBorders>
            <w:vAlign w:val="center"/>
          </w:tcPr>
          <w:p>
            <w:pPr>
              <w:spacing w:after="0" w:line="240" w:lineRule="auto"/>
              <w:rPr>
                <w:rFonts w:ascii="Bookman Old Style" w:hAnsi="Bookman Old Style" w:eastAsia="Arial" w:cs="Times New Roman"/>
                <w:b/>
                <w:color w:val="000000" w:themeColor="text1"/>
                <w:w w:val="97"/>
                <w:sz w:val="24"/>
                <w:szCs w:val="24"/>
                <w14:textFill>
                  <w14:solidFill>
                    <w14:schemeClr w14:val="tx1"/>
                  </w14:solidFill>
                </w14:textFill>
              </w:rPr>
            </w:pPr>
          </w:p>
        </w:tc>
        <w:tc>
          <w:tcPr>
            <w:tcW w:w="1140" w:type="dxa"/>
            <w:vMerge w:val="continue"/>
            <w:tcBorders>
              <w:top w:val="single" w:color="95B3D7" w:sz="8" w:space="0"/>
              <w:left w:val="nil"/>
              <w:bottom w:val="single" w:color="auto" w:sz="4" w:space="0"/>
              <w:right w:val="single" w:color="auto" w:sz="8" w:space="0"/>
            </w:tcBorders>
            <w:vAlign w:val="center"/>
          </w:tcPr>
          <w:p>
            <w:pPr>
              <w:spacing w:after="0" w:line="240" w:lineRule="auto"/>
              <w:rPr>
                <w:rFonts w:ascii="Bookman Old Style" w:hAnsi="Bookman Old Style" w:eastAsia="Arial" w:cs="Times New Roman"/>
                <w:b/>
                <w:color w:val="000000" w:themeColor="text1"/>
                <w:w w:val="97"/>
                <w:sz w:val="24"/>
                <w:szCs w:val="24"/>
                <w14:textFill>
                  <w14:solidFill>
                    <w14:schemeClr w14:val="tx1"/>
                  </w14:solidFill>
                </w14:textFill>
              </w:rPr>
            </w:pPr>
          </w:p>
        </w:tc>
        <w:tc>
          <w:tcPr>
            <w:tcW w:w="1140" w:type="dxa"/>
            <w:vMerge w:val="continue"/>
            <w:tcBorders>
              <w:top w:val="single" w:color="95B3D7" w:sz="8" w:space="0"/>
              <w:left w:val="nil"/>
              <w:bottom w:val="single" w:color="auto" w:sz="4" w:space="0"/>
              <w:right w:val="single" w:color="auto" w:sz="8" w:space="0"/>
            </w:tcBorders>
            <w:vAlign w:val="center"/>
          </w:tcPr>
          <w:p>
            <w:pPr>
              <w:spacing w:after="0" w:line="240" w:lineRule="auto"/>
              <w:rPr>
                <w:rFonts w:ascii="Bookman Old Style" w:hAnsi="Bookman Old Style" w:eastAsia="Arial" w:cs="Times New Roman"/>
                <w:b/>
                <w:color w:val="000000" w:themeColor="text1"/>
                <w:w w:val="97"/>
                <w:sz w:val="24"/>
                <w:szCs w:val="24"/>
                <w14:textFill>
                  <w14:solidFill>
                    <w14:schemeClr w14:val="tx1"/>
                  </w14:solidFill>
                </w14:textFill>
              </w:rPr>
            </w:pPr>
          </w:p>
        </w:tc>
      </w:tr>
      <w:tr>
        <w:tblPrEx>
          <w:tblCellMar>
            <w:top w:w="0" w:type="dxa"/>
            <w:left w:w="0" w:type="dxa"/>
            <w:bottom w:w="0" w:type="dxa"/>
            <w:right w:w="0" w:type="dxa"/>
          </w:tblCellMar>
        </w:tblPrEx>
        <w:trPr>
          <w:trHeight w:val="274"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70"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1</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70"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Pasimarannu</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74"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74"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4,22</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74"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8,55</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74"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4,05</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74"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12,12</w:t>
            </w:r>
          </w:p>
        </w:tc>
      </w:tr>
      <w:tr>
        <w:tblPrEx>
          <w:tblCellMar>
            <w:top w:w="0" w:type="dxa"/>
            <w:left w:w="0" w:type="dxa"/>
            <w:bottom w:w="0" w:type="dxa"/>
            <w:right w:w="0" w:type="dxa"/>
          </w:tblCellMar>
        </w:tblPrEx>
        <w:trPr>
          <w:trHeight w:val="262"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2</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3"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Pasilambena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0</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0</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12,22</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8,58</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3</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Pasimasunggu</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9,74</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11,89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9,99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5,29</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4</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Taka bonerate</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6,49</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7,00</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2,19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6,49</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5</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Pasimasunggu Timur</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4,87</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6,65</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6,44</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5,41</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6</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Bontosikuyu</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6"/>
                <w:sz w:val="24"/>
                <w:szCs w:val="24"/>
                <w14:textFill>
                  <w14:solidFill>
                    <w14:schemeClr w14:val="tx1"/>
                  </w14:solidFill>
                </w14:textFill>
              </w:rPr>
            </w:pPr>
            <w:r>
              <w:rPr>
                <w:rFonts w:ascii="Bookman Old Style" w:hAnsi="Bookman Old Style" w:eastAsia="Arial" w:cs="Times New Roman"/>
                <w:color w:val="000000" w:themeColor="text1"/>
                <w:w w:val="96"/>
                <w:sz w:val="24"/>
                <w:szCs w:val="24"/>
                <w14:textFill>
                  <w14:solidFill>
                    <w14:schemeClr w14:val="tx1"/>
                  </w14:solidFill>
                </w14:textFill>
              </w:rPr>
              <w:t>27,92</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23,29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49,09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10,75</w:t>
            </w:r>
          </w:p>
        </w:tc>
      </w:tr>
      <w:tr>
        <w:tblPrEx>
          <w:tblCellMar>
            <w:top w:w="0" w:type="dxa"/>
            <w:left w:w="0" w:type="dxa"/>
            <w:bottom w:w="0" w:type="dxa"/>
            <w:right w:w="0" w:type="dxa"/>
          </w:tblCellMar>
        </w:tblPrEx>
        <w:trPr>
          <w:trHeight w:val="262"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7</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2"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Bontoharu</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3,90</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4,70</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5,53</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11,29</w:t>
            </w:r>
          </w:p>
        </w:tc>
      </w:tr>
      <w:tr>
        <w:tblPrEx>
          <w:tblCellMar>
            <w:top w:w="0" w:type="dxa"/>
            <w:left w:w="0" w:type="dxa"/>
            <w:bottom w:w="0" w:type="dxa"/>
            <w:right w:w="0" w:type="dxa"/>
          </w:tblCellMar>
        </w:tblPrEx>
        <w:trPr>
          <w:trHeight w:val="262"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8</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2"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Benteng</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1,30</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2,10</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1,36</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2"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12,17</w:t>
            </w:r>
          </w:p>
        </w:tc>
      </w:tr>
      <w:tr>
        <w:tblPrEx>
          <w:tblCellMar>
            <w:top w:w="0" w:type="dxa"/>
            <w:left w:w="0" w:type="dxa"/>
            <w:bottom w:w="0" w:type="dxa"/>
            <w:right w:w="0" w:type="dxa"/>
          </w:tblCellMar>
        </w:tblPrEx>
        <w:trPr>
          <w:trHeight w:val="262"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89"/>
                <w:sz w:val="24"/>
                <w:szCs w:val="24"/>
                <w14:textFill>
                  <w14:solidFill>
                    <w14:schemeClr w14:val="tx1"/>
                  </w14:solidFill>
                </w14:textFill>
              </w:rPr>
            </w:pPr>
            <w:r>
              <w:rPr>
                <w:rFonts w:ascii="Bookman Old Style" w:hAnsi="Bookman Old Style" w:eastAsia="Arial" w:cs="Times New Roman"/>
                <w:color w:val="000000" w:themeColor="text1"/>
                <w:w w:val="89"/>
                <w:sz w:val="24"/>
                <w:szCs w:val="24"/>
                <w14:textFill>
                  <w14:solidFill>
                    <w14:schemeClr w14:val="tx1"/>
                  </w14:solidFill>
                </w14:textFill>
              </w:rPr>
              <w:t>9</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3"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Bontomanai</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3,57</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4,95</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4,34</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3"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8,27</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auto"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97"/>
                <w:sz w:val="24"/>
                <w:szCs w:val="24"/>
                <w14:textFill>
                  <w14:solidFill>
                    <w14:schemeClr w14:val="tx1"/>
                  </w14:solidFill>
                </w14:textFill>
              </w:rPr>
            </w:pPr>
            <w:r>
              <w:rPr>
                <w:rFonts w:ascii="Bookman Old Style" w:hAnsi="Bookman Old Style" w:eastAsia="Arial" w:cs="Times New Roman"/>
                <w:color w:val="000000" w:themeColor="text1"/>
                <w:w w:val="97"/>
                <w:sz w:val="24"/>
                <w:szCs w:val="24"/>
                <w14:textFill>
                  <w14:solidFill>
                    <w14:schemeClr w14:val="tx1"/>
                  </w14:solidFill>
                </w14:textFill>
              </w:rPr>
              <w:t>10</w:t>
            </w:r>
          </w:p>
        </w:tc>
        <w:tc>
          <w:tcPr>
            <w:tcW w:w="40" w:type="dxa"/>
            <w:tcBorders>
              <w:top w:val="single" w:color="auto" w:sz="4" w:space="0"/>
              <w:left w:val="single" w:color="auto" w:sz="4" w:space="0"/>
              <w:bottom w:val="single" w:color="auto"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auto"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Bontomatene</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6"/>
                <w:sz w:val="24"/>
                <w:szCs w:val="24"/>
                <w14:textFill>
                  <w14:solidFill>
                    <w14:schemeClr w14:val="tx1"/>
                  </w14:solidFill>
                </w14:textFill>
              </w:rPr>
            </w:pPr>
            <w:r>
              <w:rPr>
                <w:rFonts w:ascii="Bookman Old Style" w:hAnsi="Bookman Old Style" w:eastAsia="Arial" w:cs="Times New Roman"/>
                <w:color w:val="000000" w:themeColor="text1"/>
                <w:w w:val="96"/>
                <w:sz w:val="24"/>
                <w:szCs w:val="24"/>
                <w14:textFill>
                  <w14:solidFill>
                    <w14:schemeClr w14:val="tx1"/>
                  </w14:solidFill>
                </w14:textFill>
              </w:rPr>
              <w:t>34,74</w:t>
            </w:r>
          </w:p>
        </w:tc>
        <w:tc>
          <w:tcPr>
            <w:tcW w:w="112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26,59</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8,51</w:t>
            </w:r>
          </w:p>
        </w:tc>
        <w:tc>
          <w:tcPr>
            <w:tcW w:w="1140" w:type="dxa"/>
            <w:tcBorders>
              <w:top w:val="single" w:color="auto" w:sz="4" w:space="0"/>
              <w:left w:val="single" w:color="auto" w:sz="4" w:space="0"/>
              <w:bottom w:val="single" w:color="auto"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9"/>
                <w:sz w:val="24"/>
                <w:szCs w:val="24"/>
                <w14:textFill>
                  <w14:solidFill>
                    <w14:schemeClr w14:val="tx1"/>
                  </w14:solidFill>
                </w14:textFill>
              </w:rPr>
            </w:pPr>
            <w:r>
              <w:rPr>
                <w:rFonts w:ascii="Bookman Old Style" w:hAnsi="Bookman Old Style" w:eastAsia="Arial" w:cs="Times New Roman"/>
                <w:color w:val="000000" w:themeColor="text1"/>
                <w:w w:val="99"/>
                <w:sz w:val="24"/>
                <w:szCs w:val="24"/>
                <w14:textFill>
                  <w14:solidFill>
                    <w14:schemeClr w14:val="tx1"/>
                  </w14:solidFill>
                </w14:textFill>
              </w:rPr>
              <w:t>10,24</w:t>
            </w:r>
          </w:p>
        </w:tc>
      </w:tr>
      <w:tr>
        <w:tblPrEx>
          <w:tblCellMar>
            <w:top w:w="0" w:type="dxa"/>
            <w:left w:w="0" w:type="dxa"/>
            <w:bottom w:w="0" w:type="dxa"/>
            <w:right w:w="0" w:type="dxa"/>
          </w:tblCellMar>
        </w:tblPrEx>
        <w:trPr>
          <w:trHeight w:val="266" w:hRule="atLeast"/>
        </w:trPr>
        <w:tc>
          <w:tcPr>
            <w:tcW w:w="420" w:type="dxa"/>
            <w:tcBorders>
              <w:top w:val="single" w:color="auto" w:sz="4" w:space="0"/>
              <w:left w:val="single" w:color="auto" w:sz="4" w:space="0"/>
              <w:bottom w:val="single" w:color="000000" w:sz="4" w:space="0"/>
              <w:right w:val="single" w:color="auto" w:sz="4" w:space="0"/>
            </w:tcBorders>
            <w:vAlign w:val="bottom"/>
          </w:tcPr>
          <w:p>
            <w:pPr>
              <w:spacing w:after="0" w:line="265" w:lineRule="exact"/>
              <w:jc w:val="center"/>
              <w:rPr>
                <w:rFonts w:ascii="Bookman Old Style" w:hAnsi="Bookman Old Style" w:eastAsia="Arial" w:cs="Times New Roman"/>
                <w:color w:val="000000" w:themeColor="text1"/>
                <w:w w:val="97"/>
                <w:sz w:val="24"/>
                <w:szCs w:val="24"/>
                <w14:textFill>
                  <w14:solidFill>
                    <w14:schemeClr w14:val="tx1"/>
                  </w14:solidFill>
                </w14:textFill>
              </w:rPr>
            </w:pPr>
            <w:r>
              <w:rPr>
                <w:rFonts w:ascii="Bookman Old Style" w:hAnsi="Bookman Old Style" w:eastAsia="Arial" w:cs="Times New Roman"/>
                <w:color w:val="000000" w:themeColor="text1"/>
                <w:w w:val="97"/>
                <w:sz w:val="24"/>
                <w:szCs w:val="24"/>
                <w14:textFill>
                  <w14:solidFill>
                    <w14:schemeClr w14:val="tx1"/>
                  </w14:solidFill>
                </w14:textFill>
              </w:rPr>
              <w:t>11</w:t>
            </w:r>
          </w:p>
        </w:tc>
        <w:tc>
          <w:tcPr>
            <w:tcW w:w="40" w:type="dxa"/>
            <w:tcBorders>
              <w:top w:val="single" w:color="auto" w:sz="4" w:space="0"/>
              <w:left w:val="single" w:color="auto" w:sz="4" w:space="0"/>
              <w:bottom w:val="single" w:color="000000" w:sz="4" w:space="0"/>
              <w:right w:val="single" w:color="auto" w:sz="4" w:space="0"/>
            </w:tcBorders>
            <w:vAlign w:val="bottom"/>
          </w:tcPr>
          <w:p>
            <w:pPr>
              <w:spacing w:after="0" w:line="0" w:lineRule="atLeast"/>
              <w:rPr>
                <w:rFonts w:ascii="Bookman Old Style" w:hAnsi="Bookman Old Style" w:eastAsia="Times New Roman" w:cs="Times New Roman"/>
                <w:color w:val="000000" w:themeColor="text1"/>
                <w:sz w:val="24"/>
                <w:szCs w:val="24"/>
                <w14:textFill>
                  <w14:solidFill>
                    <w14:schemeClr w14:val="tx1"/>
                  </w14:solidFill>
                </w14:textFill>
              </w:rPr>
            </w:pPr>
          </w:p>
        </w:tc>
        <w:tc>
          <w:tcPr>
            <w:tcW w:w="2820" w:type="dxa"/>
            <w:tcBorders>
              <w:top w:val="single" w:color="auto" w:sz="4" w:space="0"/>
              <w:left w:val="single" w:color="auto" w:sz="4" w:space="0"/>
              <w:bottom w:val="single" w:color="000000" w:sz="4" w:space="0"/>
              <w:right w:val="single" w:color="auto" w:sz="4" w:space="0"/>
            </w:tcBorders>
            <w:vAlign w:val="bottom"/>
          </w:tcPr>
          <w:p>
            <w:pPr>
              <w:spacing w:after="0" w:line="265" w:lineRule="exact"/>
              <w:ind w:left="120"/>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Buki</w:t>
            </w:r>
          </w:p>
        </w:tc>
        <w:tc>
          <w:tcPr>
            <w:tcW w:w="1140" w:type="dxa"/>
            <w:tcBorders>
              <w:top w:val="single" w:color="auto" w:sz="4" w:space="0"/>
              <w:left w:val="single" w:color="auto" w:sz="4" w:space="0"/>
              <w:bottom w:val="single" w:color="000000"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n/a</w:t>
            </w:r>
          </w:p>
        </w:tc>
        <w:tc>
          <w:tcPr>
            <w:tcW w:w="1140" w:type="dxa"/>
            <w:tcBorders>
              <w:top w:val="single" w:color="auto" w:sz="4" w:space="0"/>
              <w:left w:val="single" w:color="auto" w:sz="4" w:space="0"/>
              <w:bottom w:val="single" w:color="000000"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3,25</w:t>
            </w:r>
          </w:p>
        </w:tc>
        <w:tc>
          <w:tcPr>
            <w:tcW w:w="1120" w:type="dxa"/>
            <w:tcBorders>
              <w:top w:val="single" w:color="auto" w:sz="4" w:space="0"/>
              <w:left w:val="single" w:color="auto" w:sz="4" w:space="0"/>
              <w:bottom w:val="single" w:color="000000"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4,30</w:t>
            </w:r>
          </w:p>
        </w:tc>
        <w:tc>
          <w:tcPr>
            <w:tcW w:w="1140" w:type="dxa"/>
            <w:tcBorders>
              <w:top w:val="single" w:color="auto" w:sz="4" w:space="0"/>
              <w:left w:val="single" w:color="auto" w:sz="4" w:space="0"/>
              <w:bottom w:val="single" w:color="000000"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sz w:val="24"/>
                <w:szCs w:val="24"/>
                <w14:textFill>
                  <w14:solidFill>
                    <w14:schemeClr w14:val="tx1"/>
                  </w14:solidFill>
                </w14:textFill>
              </w:rPr>
            </w:pPr>
            <w:r>
              <w:rPr>
                <w:rFonts w:ascii="Bookman Old Style" w:hAnsi="Bookman Old Style" w:eastAsia="Arial" w:cs="Times New Roman"/>
                <w:color w:val="000000" w:themeColor="text1"/>
                <w:sz w:val="24"/>
                <w:szCs w:val="24"/>
                <w14:textFill>
                  <w14:solidFill>
                    <w14:schemeClr w14:val="tx1"/>
                  </w14:solidFill>
                </w14:textFill>
              </w:rPr>
              <w:t>4,54</w:t>
            </w:r>
          </w:p>
        </w:tc>
        <w:tc>
          <w:tcPr>
            <w:tcW w:w="1140" w:type="dxa"/>
            <w:tcBorders>
              <w:top w:val="single" w:color="auto" w:sz="4" w:space="0"/>
              <w:left w:val="single" w:color="auto" w:sz="4" w:space="0"/>
              <w:bottom w:val="single" w:color="000000" w:sz="4" w:space="0"/>
              <w:right w:val="single" w:color="auto" w:sz="4" w:space="0"/>
            </w:tcBorders>
            <w:vAlign w:val="bottom"/>
          </w:tcPr>
          <w:p>
            <w:pPr>
              <w:spacing w:after="0" w:line="266" w:lineRule="exact"/>
              <w:jc w:val="center"/>
              <w:rPr>
                <w:rFonts w:ascii="Bookman Old Style" w:hAnsi="Bookman Old Style" w:eastAsia="Arial" w:cs="Times New Roman"/>
                <w:color w:val="000000" w:themeColor="text1"/>
                <w:w w:val="98"/>
                <w:sz w:val="24"/>
                <w:szCs w:val="24"/>
                <w14:textFill>
                  <w14:solidFill>
                    <w14:schemeClr w14:val="tx1"/>
                  </w14:solidFill>
                </w14:textFill>
              </w:rPr>
            </w:pPr>
            <w:r>
              <w:rPr>
                <w:rFonts w:ascii="Bookman Old Style" w:hAnsi="Bookman Old Style" w:eastAsia="Arial" w:cs="Times New Roman"/>
                <w:color w:val="000000" w:themeColor="text1"/>
                <w:w w:val="98"/>
                <w:sz w:val="24"/>
                <w:szCs w:val="24"/>
                <w14:textFill>
                  <w14:solidFill>
                    <w14:schemeClr w14:val="tx1"/>
                  </w14:solidFill>
                </w14:textFill>
              </w:rPr>
              <w:t>9,39</w:t>
            </w:r>
          </w:p>
        </w:tc>
      </w:tr>
      <w:tr>
        <w:tblPrEx>
          <w:tblCellMar>
            <w:top w:w="0" w:type="dxa"/>
            <w:left w:w="0" w:type="dxa"/>
            <w:bottom w:w="0" w:type="dxa"/>
            <w:right w:w="0" w:type="dxa"/>
          </w:tblCellMar>
        </w:tblPrEx>
        <w:trPr>
          <w:trHeight w:val="562" w:hRule="atLeast"/>
        </w:trPr>
        <w:tc>
          <w:tcPr>
            <w:tcW w:w="3280" w:type="dxa"/>
            <w:gridSpan w:val="3"/>
            <w:tcBorders>
              <w:top w:val="single" w:color="000000" w:sz="4" w:space="0"/>
              <w:left w:val="single" w:color="000000" w:sz="4" w:space="0"/>
              <w:bottom w:val="single" w:color="000000" w:sz="4" w:space="0"/>
              <w:right w:val="single" w:color="000000" w:sz="4" w:space="0"/>
            </w:tcBorders>
            <w:vAlign w:val="bottom"/>
          </w:tcPr>
          <w:p>
            <w:pPr>
              <w:spacing w:after="0" w:line="258" w:lineRule="exact"/>
              <w:ind w:left="160"/>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Persentase UKM non</w:t>
            </w:r>
          </w:p>
          <w:p>
            <w:pPr>
              <w:spacing w:after="0" w:line="0" w:lineRule="atLeast"/>
              <w:ind w:left="160"/>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BPR/LKM Aktif</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after="0" w:line="0" w:lineRule="atLeast"/>
              <w:jc w:val="center"/>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n/a</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after="0" w:line="0" w:lineRule="atLeast"/>
              <w:jc w:val="center"/>
              <w:rPr>
                <w:rFonts w:ascii="Bookman Old Style" w:hAnsi="Bookman Old Style" w:eastAsia="Arial" w:cs="Times New Roman"/>
                <w:b/>
                <w:color w:val="000000" w:themeColor="text1"/>
                <w:sz w:val="24"/>
                <w:szCs w:val="24"/>
                <w14:textFill>
                  <w14:solidFill>
                    <w14:schemeClr w14:val="tx1"/>
                  </w14:solidFill>
                </w14:textFill>
              </w:rPr>
            </w:pPr>
            <w:r>
              <w:rPr>
                <w:rFonts w:ascii="Bookman Old Style" w:hAnsi="Bookman Old Style" w:eastAsia="Arial" w:cs="Times New Roman"/>
                <w:b/>
                <w:color w:val="000000" w:themeColor="text1"/>
                <w:sz w:val="24"/>
                <w:szCs w:val="24"/>
                <w14:textFill>
                  <w14:solidFill>
                    <w14:schemeClr w14:val="tx1"/>
                  </w14:solidFill>
                </w14:textFill>
              </w:rPr>
              <w:t>100</w:t>
            </w:r>
          </w:p>
        </w:tc>
        <w:tc>
          <w:tcPr>
            <w:tcW w:w="1120" w:type="dxa"/>
            <w:tcBorders>
              <w:top w:val="single" w:color="000000" w:sz="4" w:space="0"/>
              <w:left w:val="single" w:color="000000" w:sz="4" w:space="0"/>
              <w:bottom w:val="single" w:color="000000" w:sz="4" w:space="0"/>
              <w:right w:val="single" w:color="000000" w:sz="4" w:space="0"/>
            </w:tcBorders>
            <w:vAlign w:val="center"/>
          </w:tcPr>
          <w:p>
            <w:pPr>
              <w:spacing w:after="0" w:line="0" w:lineRule="atLeas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100</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after="0" w:line="0" w:lineRule="atLeas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100</w:t>
            </w:r>
          </w:p>
        </w:tc>
        <w:tc>
          <w:tcPr>
            <w:tcW w:w="1140" w:type="dxa"/>
            <w:tcBorders>
              <w:top w:val="single" w:color="000000" w:sz="4" w:space="0"/>
              <w:left w:val="single" w:color="000000" w:sz="4" w:space="0"/>
              <w:bottom w:val="single" w:color="000000" w:sz="4" w:space="0"/>
              <w:right w:val="single" w:color="000000" w:sz="4" w:space="0"/>
            </w:tcBorders>
            <w:vAlign w:val="center"/>
          </w:tcPr>
          <w:p>
            <w:pPr>
              <w:spacing w:after="0" w:line="0" w:lineRule="atLeast"/>
              <w:jc w:val="center"/>
              <w:rPr>
                <w:rFonts w:ascii="Bookman Old Style" w:hAnsi="Bookman Old Style" w:eastAsia="Arial" w:cs="Times New Roman"/>
                <w:b/>
                <w:color w:val="000000" w:themeColor="text1"/>
                <w:w w:val="97"/>
                <w:sz w:val="24"/>
                <w:szCs w:val="24"/>
                <w14:textFill>
                  <w14:solidFill>
                    <w14:schemeClr w14:val="tx1"/>
                  </w14:solidFill>
                </w14:textFill>
              </w:rPr>
            </w:pPr>
            <w:r>
              <w:rPr>
                <w:rFonts w:ascii="Bookman Old Style" w:hAnsi="Bookman Old Style" w:eastAsia="Arial" w:cs="Times New Roman"/>
                <w:b/>
                <w:color w:val="000000" w:themeColor="text1"/>
                <w:w w:val="97"/>
                <w:sz w:val="24"/>
                <w:szCs w:val="24"/>
                <w14:textFill>
                  <w14:solidFill>
                    <w14:schemeClr w14:val="tx1"/>
                  </w14:solidFill>
                </w14:textFill>
              </w:rPr>
              <w:t>100</w:t>
            </w:r>
          </w:p>
        </w:tc>
      </w:tr>
    </w:tbl>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p>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p>
    <w:p>
      <w:pPr>
        <w:spacing w:after="0" w:line="20" w:lineRule="exact"/>
        <w:rPr>
          <w:rFonts w:ascii="Bookman Old Style" w:hAnsi="Bookman Old Style" w:eastAsia="Times New Roman" w:cs="Arial"/>
          <w:color w:val="000000" w:themeColor="text1"/>
          <w:sz w:val="24"/>
          <w:szCs w:val="24"/>
          <w14:textFill>
            <w14:solidFill>
              <w14:schemeClr w14:val="tx1"/>
            </w14:solidFill>
          </w14:textFill>
        </w:rPr>
      </w:pP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68480" behindDoc="1" locked="0" layoutInCell="1" allowOverlap="1">
                <wp:simplePos x="0" y="0"/>
                <wp:positionH relativeFrom="column">
                  <wp:posOffset>3096260</wp:posOffset>
                </wp:positionH>
                <wp:positionV relativeFrom="paragraph">
                  <wp:posOffset>-2687320</wp:posOffset>
                </wp:positionV>
                <wp:extent cx="12700" cy="12700"/>
                <wp:effectExtent l="635" t="0" r="0" b="0"/>
                <wp:wrapNone/>
                <wp:docPr id="1101263348" name="Rectangle 17"/>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7" o:spid="_x0000_s1026" o:spt="1" style="position:absolute;left:0pt;margin-left:243.8pt;margin-top:-211.6pt;height:1pt;width:1pt;z-index:-251648000;mso-width-relative:page;mso-height-relative:page;" fillcolor="#000000" filled="t" stroked="t" coordsize="21600,21600" o:gfxdata="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fi&#10;jCLZAAAADQEAAA8AAAAAAAAAAQAgAAAAIgAAAGRycy9kb3ducmV2LnhtbFBLAQIUABQAAAAIAIdO&#10;4kDiMihZIgIAAGoEAAAOAAAAAAAAAAEAIAAAACgBAABkcnMvZTJvRG9jLnhtbFBLBQYAAAAABgAG&#10;AFkBAAC8BQ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column">
                  <wp:posOffset>3815080</wp:posOffset>
                </wp:positionH>
                <wp:positionV relativeFrom="paragraph">
                  <wp:posOffset>-2687320</wp:posOffset>
                </wp:positionV>
                <wp:extent cx="12700" cy="12700"/>
                <wp:effectExtent l="0" t="0" r="1270" b="0"/>
                <wp:wrapNone/>
                <wp:docPr id="2038459181" name="Rectangle 16"/>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6" o:spid="_x0000_s1026" o:spt="1" style="position:absolute;left:0pt;margin-left:300.4pt;margin-top:-211.6pt;height:1pt;width:1pt;z-index:-251646976;mso-width-relative:page;mso-height-relative:page;" fillcolor="#000000" filled="t" stroked="t" coordsize="21600,21600" o:gfxdata="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d446&#10;1wAAAA0BAAAPAAAAAAAAAAEAIAAAACIAAABkcnMvZG93bnJldi54bWxQSwECFAAUAAAACACHTuJA&#10;DbKSsiICAABqBAAADgAAAAAAAAABACAAAAAmAQAAZHJzL2Uyb0RvYy54bWxQSwUGAAAAAAYABgBZ&#10;AQAAugU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0528" behindDoc="1" locked="0" layoutInCell="1" allowOverlap="1">
                <wp:simplePos x="0" y="0"/>
                <wp:positionH relativeFrom="column">
                  <wp:posOffset>4536440</wp:posOffset>
                </wp:positionH>
                <wp:positionV relativeFrom="paragraph">
                  <wp:posOffset>-2687320</wp:posOffset>
                </wp:positionV>
                <wp:extent cx="12700" cy="12700"/>
                <wp:effectExtent l="2540" t="0" r="3810" b="0"/>
                <wp:wrapNone/>
                <wp:docPr id="305864282" name="Rectangle 15"/>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5" o:spid="_x0000_s1026" o:spt="1" style="position:absolute;left:0pt;margin-left:357.2pt;margin-top:-211.6pt;height:1pt;width:1pt;z-index:-251645952;mso-width-relative:page;mso-height-relative:page;" fillcolor="#000000" filled="t" stroked="t" coordsize="21600,21600" o:gfxdata="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z5H&#10;E9kAAAANAQAADwAAAAAAAAABACAAAAAiAAAAZHJzL2Rvd25yZXYueG1sUEsBAhQAFAAAAAgAh07i&#10;QGPXo3QhAgAAaQQAAA4AAAAAAAAAAQAgAAAAKAEAAGRycy9lMm9Eb2MueG1sUEsFBgAAAAAGAAYA&#10;WQEAALsFA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1552" behindDoc="1" locked="0" layoutInCell="1" allowOverlap="1">
                <wp:simplePos x="0" y="0"/>
                <wp:positionH relativeFrom="column">
                  <wp:posOffset>5255895</wp:posOffset>
                </wp:positionH>
                <wp:positionV relativeFrom="paragraph">
                  <wp:posOffset>-2687320</wp:posOffset>
                </wp:positionV>
                <wp:extent cx="12700" cy="12700"/>
                <wp:effectExtent l="0" t="0" r="0" b="0"/>
                <wp:wrapNone/>
                <wp:docPr id="2061149505" name="Rectangle 14"/>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4" o:spid="_x0000_s1026" o:spt="1" style="position:absolute;left:0pt;margin-left:413.85pt;margin-top:-211.6pt;height:1pt;width:1pt;z-index:-251644928;mso-width-relative:page;mso-height-relative:page;" fillcolor="#000000" filled="t" stroked="t" coordsize="21600,21600" o:gfxdata="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XA&#10;stTZAAAADQEAAA8AAAAAAAAAAQAgAAAAIgAAAGRycy9kb3ducmV2LnhtbFBLAQIUABQAAAAIAIdO&#10;4kAs75UwIgIAAGoEAAAOAAAAAAAAAAEAIAAAACgBAABkcnMvZTJvRG9jLnhtbFBLBQYAAAAABgAG&#10;AFkBAAC8BQ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2576" behindDoc="1" locked="0" layoutInCell="1" allowOverlap="1">
                <wp:simplePos x="0" y="0"/>
                <wp:positionH relativeFrom="column">
                  <wp:posOffset>575310</wp:posOffset>
                </wp:positionH>
                <wp:positionV relativeFrom="paragraph">
                  <wp:posOffset>-2075180</wp:posOffset>
                </wp:positionV>
                <wp:extent cx="12700" cy="12700"/>
                <wp:effectExtent l="3810" t="1270" r="2540" b="0"/>
                <wp:wrapNone/>
                <wp:docPr id="532941146" name="Rectangle 13"/>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3" o:spid="_x0000_s1026" o:spt="1" style="position:absolute;left:0pt;margin-left:45.3pt;margin-top:-163.4pt;height:1pt;width:1pt;z-index:-251643904;mso-width-relative:page;mso-height-relative:page;" fillcolor="#000000" filled="t" stroked="t" coordsize="21600,21600" o:gfxdata="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mMtSzW&#10;AAAACwEAAA8AAAAAAAAAAQAgAAAAIgAAAGRycy9kb3ducmV2LnhtbFBLAQIUABQAAAAIAIdO4kAS&#10;3stUIgIAAGkEAAAOAAAAAAAAAAEAIAAAACUBAABkcnMvZTJvRG9jLnhtbFBLBQYAAAAABgAGAFkB&#10;AAC5BQ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3600" behindDoc="1" locked="0" layoutInCell="1" allowOverlap="1">
                <wp:simplePos x="0" y="0"/>
                <wp:positionH relativeFrom="column">
                  <wp:posOffset>3096260</wp:posOffset>
                </wp:positionH>
                <wp:positionV relativeFrom="paragraph">
                  <wp:posOffset>-2075180</wp:posOffset>
                </wp:positionV>
                <wp:extent cx="12700" cy="12700"/>
                <wp:effectExtent l="635" t="1270" r="0" b="0"/>
                <wp:wrapNone/>
                <wp:docPr id="2005615460" name="Rectangle 12"/>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2" o:spid="_x0000_s1026" o:spt="1" style="position:absolute;left:0pt;margin-left:243.8pt;margin-top:-163.4pt;height:1pt;width:1pt;z-index:-251642880;mso-width-relative:page;mso-height-relative:page;" fillcolor="#000000" filled="t" stroked="t" coordsize="21600,21600" o:gfxdata="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yuI8&#10;2AAAAA0BAAAPAAAAAAAAAAEAIAAAACIAAABkcnMvZG93bnJldi54bWxQSwECFAAUAAAACACHTuJA&#10;V0dWXyECAABqBAAADgAAAAAAAAABACAAAAAnAQAAZHJzL2Uyb0RvYy54bWxQSwUGAAAAAAYABgBZ&#10;AQAAugU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4624" behindDoc="1" locked="0" layoutInCell="1" allowOverlap="1">
                <wp:simplePos x="0" y="0"/>
                <wp:positionH relativeFrom="column">
                  <wp:posOffset>4536440</wp:posOffset>
                </wp:positionH>
                <wp:positionV relativeFrom="paragraph">
                  <wp:posOffset>-2075180</wp:posOffset>
                </wp:positionV>
                <wp:extent cx="12700" cy="12700"/>
                <wp:effectExtent l="2540" t="1270" r="3810" b="0"/>
                <wp:wrapNone/>
                <wp:docPr id="1018219638" name="Rectangle 9"/>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9" o:spid="_x0000_s1026" o:spt="1" style="position:absolute;left:0pt;margin-left:357.2pt;margin-top:-163.4pt;height:1pt;width:1pt;z-index:-251641856;mso-width-relative:page;mso-height-relative:page;" fillcolor="#000000" filled="t" stroked="t" coordsize="21600,21600" o:gfxdata="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FikN&#10;2AAAAA0BAAAPAAAAAAAAAAEAIAAAACIAAABkcnMvZG93bnJldi54bWxQSwECFAAUAAAACACHTuJA&#10;IxHXfyECAABpBAAADgAAAAAAAAABACAAAAAnAQAAZHJzL2Uyb0RvYy54bWxQSwUGAAAAAAYABgBZ&#10;AQAAugU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cs="Arial"/>
          <w:color w:val="000000" w:themeColor="text1"/>
          <w:szCs w:val="24"/>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5255895</wp:posOffset>
                </wp:positionH>
                <wp:positionV relativeFrom="paragraph">
                  <wp:posOffset>-2075180</wp:posOffset>
                </wp:positionV>
                <wp:extent cx="12700" cy="12700"/>
                <wp:effectExtent l="0" t="1270" r="0" b="0"/>
                <wp:wrapNone/>
                <wp:docPr id="216961516" name="Rectangle 7"/>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7" o:spid="_x0000_s1026" o:spt="1" style="position:absolute;left:0pt;margin-left:413.85pt;margin-top:-163.4pt;height:1pt;width:1pt;z-index:-251640832;mso-width-relative:page;mso-height-relative:page;" fillcolor="#000000" filled="t" stroked="t" coordsize="21600,21600" o:gfxdata="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o3MrY&#10;AAAADQEAAA8AAAAAAAAAAQAgAAAAIgAAAGRycy9kb3ducmV2LnhtbFBLAQIUABQAAAAIAIdO4kD8&#10;/Nl3IAIAAGgEAAAOAAAAAAAAAAEAIAAAACcBAABkcnMvZTJvRG9jLnhtbFBLBQYAAAAABgAGAFkB&#10;AAC5BQAAAAA=&#10;">
                <v:fill on="t" focussize="0,0"/>
                <v:stroke color="#FFFFFF" miterlimit="8" joinstyle="miter"/>
                <v:imagedata o:title=""/>
                <o:lock v:ext="edit" aspectratio="f"/>
                <v:textbox>
                  <w:txbxContent>
                    <w:p>
                      <w:pPr>
                        <w:jc w:val="center"/>
                      </w:pPr>
                    </w:p>
                  </w:txbxContent>
                </v:textbox>
              </v:rect>
            </w:pict>
          </mc:Fallback>
        </mc:AlternateContent>
      </w:r>
    </w:p>
    <w:p>
      <w:pPr>
        <w:numPr>
          <w:ilvl w:val="0"/>
          <w:numId w:val="26"/>
        </w:numPr>
        <w:tabs>
          <w:tab w:val="left" w:pos="567"/>
          <w:tab w:val="clear" w:pos="720"/>
        </w:tabs>
        <w:autoSpaceDE w:val="0"/>
        <w:autoSpaceDN w:val="0"/>
        <w:adjustRightInd w:val="0"/>
        <w:spacing w:after="0" w:line="360" w:lineRule="auto"/>
        <w:ind w:left="426" w:hanging="426"/>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Persentase BPR/LKM aktif</w:t>
      </w:r>
    </w:p>
    <w:p>
      <w:pPr>
        <w:spacing w:after="0" w:line="355" w:lineRule="auto"/>
        <w:ind w:left="480" w:firstLine="720"/>
        <w:jc w:val="both"/>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Arial" w:cs="Tahoma"/>
          <w:color w:val="000000" w:themeColor="text1"/>
          <w:sz w:val="24"/>
          <w:szCs w:val="24"/>
          <w14:textFill>
            <w14:solidFill>
              <w14:schemeClr w14:val="tx1"/>
            </w14:solidFill>
          </w14:textFill>
        </w:rPr>
        <w:t xml:space="preserve">Persentase BPR/LKM aktif juga sangat baik dari tahun 2016 sampai tahun 2020 yakni 100 persen ini menunjukkan aktifitas BPR             di Kabupaten Kepulauan Selayar mampu bertahan dimasa krisis akibat pandemi Covid – 19. Persentase BPR/LKM aktif menurut kecamatan dapat dilihat pada </w:t>
      </w:r>
      <w:r>
        <w:rPr>
          <w:rFonts w:ascii="Bookman Old Style" w:hAnsi="Bookman Old Style" w:eastAsia="Arial" w:cs="Tahoma"/>
          <w:bCs/>
          <w:color w:val="000000" w:themeColor="text1"/>
          <w:sz w:val="24"/>
          <w:szCs w:val="24"/>
          <w14:textFill>
            <w14:solidFill>
              <w14:schemeClr w14:val="tx1"/>
            </w14:solidFill>
          </w14:textFill>
        </w:rPr>
        <w:t>Tabel 2.3.5.</w:t>
      </w:r>
    </w:p>
    <w:p>
      <w:pPr>
        <w:spacing w:after="0" w:line="0" w:lineRule="atLeast"/>
        <w:ind w:left="414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Tabel 2.3.5</w:t>
      </w:r>
    </w:p>
    <w:p>
      <w:pPr>
        <w:spacing w:after="0" w:line="0" w:lineRule="atLeast"/>
        <w:ind w:left="228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Persentase BPR/LKM Aktif Menurut Kecamatan</w:t>
      </w: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p>
    <w:tbl>
      <w:tblPr>
        <w:tblStyle w:val="4"/>
        <w:tblW w:w="8960" w:type="dxa"/>
        <w:tblInd w:w="460" w:type="dxa"/>
        <w:tblLayout w:type="fixed"/>
        <w:tblCellMar>
          <w:top w:w="0" w:type="dxa"/>
          <w:left w:w="0" w:type="dxa"/>
          <w:bottom w:w="0" w:type="dxa"/>
          <w:right w:w="0" w:type="dxa"/>
        </w:tblCellMar>
      </w:tblPr>
      <w:tblGrid>
        <w:gridCol w:w="420"/>
        <w:gridCol w:w="40"/>
        <w:gridCol w:w="2820"/>
        <w:gridCol w:w="1140"/>
        <w:gridCol w:w="1140"/>
        <w:gridCol w:w="1120"/>
        <w:gridCol w:w="1140"/>
        <w:gridCol w:w="1140"/>
      </w:tblGrid>
      <w:tr>
        <w:tblPrEx>
          <w:tblCellMar>
            <w:top w:w="0" w:type="dxa"/>
            <w:left w:w="0" w:type="dxa"/>
            <w:bottom w:w="0" w:type="dxa"/>
            <w:right w:w="0" w:type="dxa"/>
          </w:tblCellMar>
        </w:tblPrEx>
        <w:trPr>
          <w:trHeight w:val="582"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color="auto" w:fill="95B3D7"/>
            <w:vAlign w:val="center"/>
          </w:tcPr>
          <w:p>
            <w:pPr>
              <w:spacing w:after="0" w:line="0" w:lineRule="atLeast"/>
              <w:rPr>
                <w:rFonts w:ascii="Bookman Old Style" w:hAnsi="Bookman Old Style" w:eastAsia="Arial" w:cs="Tahoma"/>
                <w:b/>
                <w:color w:val="000000" w:themeColor="text1"/>
                <w:w w:val="99"/>
                <w:sz w:val="24"/>
                <w:szCs w:val="24"/>
                <w14:textFill>
                  <w14:solidFill>
                    <w14:schemeClr w14:val="tx1"/>
                  </w14:solidFill>
                </w14:textFill>
              </w:rPr>
            </w:pPr>
            <w:r>
              <w:rPr>
                <w:rFonts w:ascii="Bookman Old Style" w:hAnsi="Bookman Old Style" w:eastAsia="Arial" w:cs="Tahoma"/>
                <w:b/>
                <w:color w:val="000000" w:themeColor="text1"/>
                <w:w w:val="99"/>
                <w:sz w:val="24"/>
                <w:szCs w:val="24"/>
                <w14:textFill>
                  <w14:solidFill>
                    <w14:schemeClr w14:val="tx1"/>
                  </w14:solidFill>
                </w14:textFill>
              </w:rPr>
              <w:t>No</w:t>
            </w:r>
          </w:p>
        </w:tc>
        <w:tc>
          <w:tcPr>
            <w:tcW w:w="2860" w:type="dxa"/>
            <w:gridSpan w:val="2"/>
            <w:vMerge w:val="restart"/>
            <w:tcBorders>
              <w:top w:val="single" w:color="auto" w:sz="8" w:space="0"/>
              <w:left w:val="single" w:color="000000" w:sz="4" w:space="0"/>
              <w:right w:val="single" w:color="auto" w:sz="8" w:space="0"/>
            </w:tcBorders>
            <w:shd w:val="clear" w:color="auto" w:fill="95B3D7"/>
            <w:vAlign w:val="center"/>
          </w:tcPr>
          <w:p>
            <w:pPr>
              <w:spacing w:after="0" w:line="0" w:lineRule="atLeast"/>
              <w:ind w:left="780"/>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Kecamatan</w:t>
            </w:r>
          </w:p>
        </w:tc>
        <w:tc>
          <w:tcPr>
            <w:tcW w:w="5680" w:type="dxa"/>
            <w:gridSpan w:val="5"/>
            <w:tcBorders>
              <w:top w:val="single" w:color="auto" w:sz="8" w:space="0"/>
              <w:left w:val="nil"/>
              <w:bottom w:val="single" w:color="auto" w:sz="8" w:space="0"/>
              <w:right w:val="single" w:color="auto" w:sz="8" w:space="0"/>
            </w:tcBorders>
            <w:shd w:val="clear" w:color="auto" w:fill="95B3D7"/>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Tahun</w:t>
            </w:r>
          </w:p>
        </w:tc>
      </w:tr>
      <w:tr>
        <w:tblPrEx>
          <w:tblCellMar>
            <w:top w:w="0" w:type="dxa"/>
            <w:left w:w="0" w:type="dxa"/>
            <w:bottom w:w="0" w:type="dxa"/>
            <w:right w:w="0" w:type="dxa"/>
          </w:tblCellMar>
        </w:tblPrEx>
        <w:trPr>
          <w:trHeight w:val="312" w:hRule="atLeast"/>
        </w:trPr>
        <w:tc>
          <w:tcPr>
            <w:tcW w:w="420"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Bookman Old Style" w:hAnsi="Bookman Old Style" w:eastAsia="Arial" w:cs="Tahoma"/>
                <w:b/>
                <w:color w:val="000000" w:themeColor="text1"/>
                <w:w w:val="99"/>
                <w:sz w:val="24"/>
                <w:szCs w:val="24"/>
                <w14:textFill>
                  <w14:solidFill>
                    <w14:schemeClr w14:val="tx1"/>
                  </w14:solidFill>
                </w14:textFill>
              </w:rPr>
            </w:pPr>
          </w:p>
        </w:tc>
        <w:tc>
          <w:tcPr>
            <w:tcW w:w="2860" w:type="dxa"/>
            <w:gridSpan w:val="2"/>
            <w:vMerge w:val="continue"/>
            <w:tcBorders>
              <w:left w:val="single" w:color="000000" w:sz="4" w:space="0"/>
              <w:bottom w:val="single" w:color="auto" w:sz="8" w:space="0"/>
              <w:right w:val="single" w:color="auto" w:sz="8" w:space="0"/>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1140" w:type="dxa"/>
            <w:tcBorders>
              <w:top w:val="single" w:color="95B3D7" w:sz="8" w:space="0"/>
              <w:left w:val="nil"/>
              <w:bottom w:val="single" w:color="auto" w:sz="8" w:space="0"/>
              <w:right w:val="single" w:color="auto" w:sz="8" w:space="0"/>
            </w:tcBorders>
            <w:shd w:val="clear" w:color="auto" w:fill="95B3D7"/>
            <w:vAlign w:val="bottom"/>
          </w:tcPr>
          <w:p>
            <w:pPr>
              <w:spacing w:after="0" w:line="266" w:lineRule="exact"/>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2016</w:t>
            </w:r>
          </w:p>
        </w:tc>
        <w:tc>
          <w:tcPr>
            <w:tcW w:w="1140" w:type="dxa"/>
            <w:tcBorders>
              <w:top w:val="single" w:color="95B3D7" w:sz="8" w:space="0"/>
              <w:left w:val="nil"/>
              <w:bottom w:val="single" w:color="auto" w:sz="8" w:space="0"/>
              <w:right w:val="single" w:color="auto" w:sz="8" w:space="0"/>
            </w:tcBorders>
            <w:shd w:val="clear" w:color="auto" w:fill="95B3D7"/>
            <w:vAlign w:val="bottom"/>
          </w:tcPr>
          <w:p>
            <w:pPr>
              <w:spacing w:after="0" w:line="266" w:lineRule="exact"/>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2017</w:t>
            </w:r>
          </w:p>
        </w:tc>
        <w:tc>
          <w:tcPr>
            <w:tcW w:w="1120" w:type="dxa"/>
            <w:tcBorders>
              <w:top w:val="single" w:color="95B3D7" w:sz="8" w:space="0"/>
              <w:left w:val="nil"/>
              <w:bottom w:val="single" w:color="auto" w:sz="8" w:space="0"/>
              <w:right w:val="single" w:color="auto" w:sz="8" w:space="0"/>
            </w:tcBorders>
            <w:shd w:val="clear" w:color="auto" w:fill="95B3D7"/>
            <w:vAlign w:val="bottom"/>
          </w:tcPr>
          <w:p>
            <w:pPr>
              <w:spacing w:after="0" w:line="266"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2018</w:t>
            </w:r>
          </w:p>
        </w:tc>
        <w:tc>
          <w:tcPr>
            <w:tcW w:w="1140" w:type="dxa"/>
            <w:tcBorders>
              <w:top w:val="single" w:color="95B3D7" w:sz="8" w:space="0"/>
              <w:left w:val="nil"/>
              <w:bottom w:val="single" w:color="auto" w:sz="8" w:space="0"/>
              <w:right w:val="single" w:color="auto" w:sz="8" w:space="0"/>
            </w:tcBorders>
            <w:shd w:val="clear" w:color="auto" w:fill="95B3D7"/>
            <w:vAlign w:val="bottom"/>
          </w:tcPr>
          <w:p>
            <w:pPr>
              <w:spacing w:after="0" w:line="266"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2019</w:t>
            </w:r>
          </w:p>
        </w:tc>
        <w:tc>
          <w:tcPr>
            <w:tcW w:w="1140" w:type="dxa"/>
            <w:tcBorders>
              <w:top w:val="single" w:color="95B3D7" w:sz="8" w:space="0"/>
              <w:left w:val="nil"/>
              <w:bottom w:val="single" w:color="auto" w:sz="8" w:space="0"/>
              <w:right w:val="single" w:color="auto" w:sz="8" w:space="0"/>
            </w:tcBorders>
            <w:shd w:val="clear" w:color="auto" w:fill="95B3D7"/>
            <w:vAlign w:val="bottom"/>
          </w:tcPr>
          <w:p>
            <w:pPr>
              <w:spacing w:after="0" w:line="266"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2020</w:t>
            </w:r>
          </w:p>
        </w:tc>
      </w:tr>
      <w:tr>
        <w:tblPrEx>
          <w:tblCellMar>
            <w:top w:w="0" w:type="dxa"/>
            <w:left w:w="0" w:type="dxa"/>
            <w:bottom w:w="0" w:type="dxa"/>
            <w:right w:w="0" w:type="dxa"/>
          </w:tblCellMar>
        </w:tblPrEx>
        <w:trPr>
          <w:trHeight w:val="270" w:hRule="atLeast"/>
        </w:trPr>
        <w:tc>
          <w:tcPr>
            <w:tcW w:w="420" w:type="dxa"/>
            <w:tcBorders>
              <w:top w:val="single" w:color="000000" w:sz="4" w:space="0"/>
              <w:left w:val="single" w:color="auto" w:sz="8" w:space="0"/>
              <w:bottom w:val="nil"/>
              <w:right w:val="single" w:color="auto" w:sz="8" w:space="0"/>
            </w:tcBorders>
            <w:vAlign w:val="bottom"/>
          </w:tcPr>
          <w:p>
            <w:pPr>
              <w:spacing w:after="0" w:line="270"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2860" w:type="dxa"/>
            <w:gridSpan w:val="2"/>
            <w:tcBorders>
              <w:top w:val="single" w:color="auto" w:sz="8" w:space="0"/>
              <w:left w:val="nil"/>
              <w:bottom w:val="nil"/>
              <w:right w:val="single" w:color="auto" w:sz="8" w:space="0"/>
            </w:tcBorders>
            <w:vAlign w:val="bottom"/>
          </w:tcPr>
          <w:p>
            <w:pPr>
              <w:spacing w:after="0" w:line="270"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Pasimarannu</w:t>
            </w:r>
          </w:p>
        </w:tc>
        <w:tc>
          <w:tcPr>
            <w:tcW w:w="1140" w:type="dxa"/>
            <w:tcBorders>
              <w:top w:val="single" w:color="auto" w:sz="8" w:space="0"/>
              <w:left w:val="single" w:color="auto" w:sz="8" w:space="0"/>
              <w:bottom w:val="nil"/>
              <w:right w:val="single" w:color="auto" w:sz="8" w:space="0"/>
            </w:tcBorders>
            <w:vAlign w:val="bottom"/>
          </w:tcPr>
          <w:p>
            <w:pPr>
              <w:spacing w:after="0" w:line="250"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50"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50"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50"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50"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2" w:hRule="atLeast"/>
        </w:trPr>
        <w:tc>
          <w:tcPr>
            <w:tcW w:w="420" w:type="dxa"/>
            <w:tcBorders>
              <w:top w:val="nil"/>
              <w:left w:val="single" w:color="auto" w:sz="8" w:space="0"/>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2860" w:type="dxa"/>
            <w:gridSpan w:val="2"/>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1140" w:type="dxa"/>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1140" w:type="dxa"/>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1120" w:type="dxa"/>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1140" w:type="dxa"/>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c>
          <w:tcPr>
            <w:tcW w:w="1140" w:type="dxa"/>
            <w:tcBorders>
              <w:top w:val="nil"/>
              <w:left w:val="nil"/>
              <w:bottom w:val="single" w:color="auto" w:sz="8" w:space="0"/>
              <w:right w:val="single" w:color="auto" w:sz="8" w:space="0"/>
            </w:tcBorders>
            <w:vAlign w:val="bottom"/>
          </w:tcPr>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single" w:color="auto" w:sz="8" w:space="0"/>
            </w:tcBorders>
            <w:vAlign w:val="bottom"/>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2860" w:type="dxa"/>
            <w:gridSpan w:val="2"/>
            <w:tcBorders>
              <w:top w:val="nil"/>
              <w:left w:val="nil"/>
              <w:bottom w:val="nil"/>
              <w:right w:val="single" w:color="auto" w:sz="8" w:space="0"/>
            </w:tcBorders>
            <w:vAlign w:val="bottom"/>
          </w:tcPr>
          <w:p>
            <w:pPr>
              <w:spacing w:after="0" w:line="262"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Pasilambena</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single" w:color="auto" w:sz="8" w:space="0"/>
            </w:tcBorders>
            <w:vAlign w:val="bottom"/>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2860" w:type="dxa"/>
            <w:gridSpan w:val="2"/>
            <w:tcBorders>
              <w:top w:val="nil"/>
              <w:left w:val="nil"/>
              <w:bottom w:val="nil"/>
              <w:right w:val="single" w:color="auto" w:sz="8" w:space="0"/>
            </w:tcBorders>
            <w:vAlign w:val="bottom"/>
          </w:tcPr>
          <w:p>
            <w:pPr>
              <w:spacing w:after="0" w:line="262"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58" w:hRule="atLeast"/>
        </w:trPr>
        <w:tc>
          <w:tcPr>
            <w:tcW w:w="420" w:type="dxa"/>
            <w:tcBorders>
              <w:top w:val="nil"/>
              <w:left w:val="single" w:color="auto" w:sz="8" w:space="0"/>
              <w:bottom w:val="nil"/>
              <w:right w:val="single" w:color="auto" w:sz="8" w:space="0"/>
            </w:tcBorders>
            <w:vAlign w:val="bottom"/>
          </w:tcPr>
          <w:p>
            <w:pPr>
              <w:spacing w:after="0" w:line="258"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4</w:t>
            </w:r>
          </w:p>
        </w:tc>
        <w:tc>
          <w:tcPr>
            <w:tcW w:w="2860" w:type="dxa"/>
            <w:gridSpan w:val="2"/>
            <w:tcBorders>
              <w:top w:val="nil"/>
              <w:left w:val="nil"/>
              <w:bottom w:val="nil"/>
              <w:right w:val="single" w:color="auto" w:sz="8" w:space="0"/>
            </w:tcBorders>
            <w:vAlign w:val="bottom"/>
          </w:tcPr>
          <w:p>
            <w:pPr>
              <w:spacing w:after="0" w:line="258"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Taka bonerate</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58" w:hRule="atLeast"/>
        </w:trPr>
        <w:tc>
          <w:tcPr>
            <w:tcW w:w="420" w:type="dxa"/>
            <w:tcBorders>
              <w:top w:val="nil"/>
              <w:left w:val="single" w:color="auto" w:sz="8" w:space="0"/>
              <w:bottom w:val="nil"/>
              <w:right w:val="single" w:color="auto" w:sz="8" w:space="0"/>
            </w:tcBorders>
            <w:vAlign w:val="bottom"/>
          </w:tcPr>
          <w:p>
            <w:pPr>
              <w:spacing w:after="0" w:line="258"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c>
          <w:tcPr>
            <w:tcW w:w="2860" w:type="dxa"/>
            <w:gridSpan w:val="2"/>
            <w:tcBorders>
              <w:top w:val="nil"/>
              <w:left w:val="nil"/>
              <w:bottom w:val="nil"/>
              <w:right w:val="single" w:color="auto" w:sz="8" w:space="0"/>
            </w:tcBorders>
            <w:vAlign w:val="bottom"/>
          </w:tcPr>
          <w:p>
            <w:pPr>
              <w:spacing w:after="0" w:line="258"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 Timur</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single" w:color="auto" w:sz="8" w:space="0"/>
            </w:tcBorders>
            <w:vAlign w:val="bottom"/>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c>
          <w:tcPr>
            <w:tcW w:w="2860" w:type="dxa"/>
            <w:gridSpan w:val="2"/>
            <w:tcBorders>
              <w:top w:val="nil"/>
              <w:left w:val="nil"/>
              <w:bottom w:val="nil"/>
              <w:right w:val="single" w:color="auto" w:sz="8" w:space="0"/>
            </w:tcBorders>
            <w:vAlign w:val="bottom"/>
          </w:tcPr>
          <w:p>
            <w:pPr>
              <w:spacing w:after="0" w:line="262"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Bontosikuyu</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single" w:color="auto" w:sz="8" w:space="0"/>
            </w:tcBorders>
            <w:vAlign w:val="bottom"/>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7</w:t>
            </w:r>
          </w:p>
        </w:tc>
        <w:tc>
          <w:tcPr>
            <w:tcW w:w="2860" w:type="dxa"/>
            <w:gridSpan w:val="2"/>
            <w:tcBorders>
              <w:top w:val="nil"/>
              <w:left w:val="nil"/>
              <w:bottom w:val="nil"/>
              <w:right w:val="single" w:color="auto" w:sz="8" w:space="0"/>
            </w:tcBorders>
            <w:vAlign w:val="bottom"/>
          </w:tcPr>
          <w:p>
            <w:pPr>
              <w:spacing w:after="0" w:line="262"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Bontoharu</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58" w:hRule="atLeast"/>
        </w:trPr>
        <w:tc>
          <w:tcPr>
            <w:tcW w:w="420" w:type="dxa"/>
            <w:tcBorders>
              <w:top w:val="nil"/>
              <w:left w:val="single" w:color="auto" w:sz="8" w:space="0"/>
              <w:bottom w:val="nil"/>
              <w:right w:val="single" w:color="auto" w:sz="8" w:space="0"/>
            </w:tcBorders>
            <w:vAlign w:val="bottom"/>
          </w:tcPr>
          <w:p>
            <w:pPr>
              <w:spacing w:after="0" w:line="258"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8</w:t>
            </w:r>
          </w:p>
        </w:tc>
        <w:tc>
          <w:tcPr>
            <w:tcW w:w="2860" w:type="dxa"/>
            <w:gridSpan w:val="2"/>
            <w:tcBorders>
              <w:top w:val="nil"/>
              <w:left w:val="nil"/>
              <w:bottom w:val="nil"/>
              <w:right w:val="single" w:color="auto" w:sz="8" w:space="0"/>
            </w:tcBorders>
            <w:vAlign w:val="bottom"/>
          </w:tcPr>
          <w:p>
            <w:pPr>
              <w:spacing w:after="0" w:line="258"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Benteng</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100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100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r>
      <w:tr>
        <w:tblPrEx>
          <w:tblCellMar>
            <w:top w:w="0" w:type="dxa"/>
            <w:left w:w="0" w:type="dxa"/>
            <w:bottom w:w="0" w:type="dxa"/>
            <w:right w:w="0" w:type="dxa"/>
          </w:tblCellMar>
        </w:tblPrEx>
        <w:trPr>
          <w:trHeight w:val="258" w:hRule="atLeast"/>
        </w:trPr>
        <w:tc>
          <w:tcPr>
            <w:tcW w:w="420" w:type="dxa"/>
            <w:tcBorders>
              <w:top w:val="nil"/>
              <w:left w:val="single" w:color="auto" w:sz="8" w:space="0"/>
              <w:bottom w:val="nil"/>
              <w:right w:val="single" w:color="auto" w:sz="8" w:space="0"/>
            </w:tcBorders>
            <w:vAlign w:val="bottom"/>
          </w:tcPr>
          <w:p>
            <w:pPr>
              <w:spacing w:after="0" w:line="258"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9</w:t>
            </w:r>
          </w:p>
        </w:tc>
        <w:tc>
          <w:tcPr>
            <w:tcW w:w="2860" w:type="dxa"/>
            <w:gridSpan w:val="2"/>
            <w:tcBorders>
              <w:top w:val="nil"/>
              <w:left w:val="nil"/>
              <w:bottom w:val="nil"/>
              <w:right w:val="single" w:color="auto" w:sz="8" w:space="0"/>
            </w:tcBorders>
            <w:vAlign w:val="bottom"/>
          </w:tcPr>
          <w:p>
            <w:pPr>
              <w:spacing w:after="0" w:line="258" w:lineRule="exact"/>
              <w:ind w:left="14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Bontomanai</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73" w:hRule="atLeast"/>
        </w:trPr>
        <w:tc>
          <w:tcPr>
            <w:tcW w:w="420" w:type="dxa"/>
            <w:tcBorders>
              <w:top w:val="nil"/>
              <w:left w:val="single" w:color="auto" w:sz="8" w:space="0"/>
              <w:bottom w:val="nil"/>
              <w:right w:val="nil"/>
            </w:tcBorders>
            <w:vAlign w:val="bottom"/>
          </w:tcPr>
          <w:p>
            <w:pPr>
              <w:spacing w:after="0" w:line="273" w:lineRule="exact"/>
              <w:ind w:left="8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10</w:t>
            </w:r>
          </w:p>
        </w:tc>
        <w:tc>
          <w:tcPr>
            <w:tcW w:w="40" w:type="dxa"/>
            <w:tcBorders>
              <w:top w:val="nil"/>
              <w:left w:val="nil"/>
              <w:bottom w:val="nil"/>
              <w:right w:val="single" w:color="auto" w:sz="8" w:space="0"/>
            </w:tcBorders>
            <w:vAlign w:val="bottom"/>
          </w:tcPr>
          <w:p>
            <w:pPr>
              <w:spacing w:after="0" w:line="0" w:lineRule="atLeast"/>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nil"/>
              <w:left w:val="nil"/>
              <w:bottom w:val="nil"/>
              <w:right w:val="single" w:color="auto" w:sz="8" w:space="0"/>
            </w:tcBorders>
            <w:vAlign w:val="bottom"/>
          </w:tcPr>
          <w:p>
            <w:pPr>
              <w:spacing w:after="0" w:line="273" w:lineRule="exact"/>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Bontomatene</w:t>
            </w:r>
          </w:p>
        </w:tc>
        <w:tc>
          <w:tcPr>
            <w:tcW w:w="1140" w:type="dxa"/>
            <w:tcBorders>
              <w:top w:val="nil"/>
              <w:left w:val="nil"/>
              <w:bottom w:val="nil"/>
              <w:right w:val="single" w:color="auto" w:sz="8" w:space="0"/>
            </w:tcBorders>
            <w:vAlign w:val="bottom"/>
          </w:tcPr>
          <w:p>
            <w:pPr>
              <w:spacing w:after="0" w:line="0" w:lineRule="atLeas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0" w:lineRule="atLeas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nil"/>
              <w:bottom w:val="nil"/>
              <w:right w:val="single" w:color="auto" w:sz="8" w:space="0"/>
            </w:tcBorders>
            <w:vAlign w:val="bottom"/>
          </w:tcPr>
          <w:p>
            <w:pPr>
              <w:spacing w:after="0" w:line="0" w:lineRule="atLeas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0" w:lineRule="atLeas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nil"/>
              <w:bottom w:val="nil"/>
              <w:right w:val="single" w:color="auto" w:sz="8" w:space="0"/>
            </w:tcBorders>
            <w:vAlign w:val="bottom"/>
          </w:tcPr>
          <w:p>
            <w:pPr>
              <w:spacing w:after="0" w:line="0" w:lineRule="atLeas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258" w:hRule="atLeast"/>
        </w:trPr>
        <w:tc>
          <w:tcPr>
            <w:tcW w:w="420" w:type="dxa"/>
            <w:tcBorders>
              <w:top w:val="nil"/>
              <w:left w:val="single" w:color="auto" w:sz="8" w:space="0"/>
              <w:bottom w:val="single" w:color="auto" w:sz="8" w:space="0"/>
              <w:right w:val="single" w:color="auto" w:sz="8" w:space="0"/>
            </w:tcBorders>
            <w:vAlign w:val="bottom"/>
          </w:tcPr>
          <w:p>
            <w:pPr>
              <w:spacing w:after="0" w:line="258" w:lineRule="exact"/>
              <w:ind w:left="8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11</w:t>
            </w:r>
          </w:p>
        </w:tc>
        <w:tc>
          <w:tcPr>
            <w:tcW w:w="40" w:type="dxa"/>
            <w:tcBorders>
              <w:top w:val="nil"/>
              <w:left w:val="single" w:color="auto" w:sz="8" w:space="0"/>
              <w:bottom w:val="single" w:color="auto" w:sz="8" w:space="0"/>
              <w:right w:val="single" w:color="auto" w:sz="8" w:space="0"/>
            </w:tcBorders>
            <w:vAlign w:val="bottom"/>
          </w:tcPr>
          <w:p>
            <w:pPr>
              <w:spacing w:after="0" w:line="0" w:lineRule="atLeast"/>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nil"/>
              <w:left w:val="single" w:color="auto" w:sz="8" w:space="0"/>
              <w:bottom w:val="single" w:color="auto" w:sz="8" w:space="0"/>
              <w:right w:val="single" w:color="auto" w:sz="8" w:space="0"/>
            </w:tcBorders>
            <w:vAlign w:val="bottom"/>
          </w:tcPr>
          <w:p>
            <w:pPr>
              <w:spacing w:after="0" w:line="258" w:lineRule="exact"/>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Buki</w:t>
            </w:r>
          </w:p>
        </w:tc>
        <w:tc>
          <w:tcPr>
            <w:tcW w:w="1140" w:type="dxa"/>
            <w:tcBorders>
              <w:top w:val="nil"/>
              <w:left w:val="single" w:color="auto" w:sz="8" w:space="0"/>
              <w:bottom w:val="single" w:color="auto" w:sz="8" w:space="0"/>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single" w:color="auto" w:sz="8" w:space="0"/>
              <w:bottom w:val="single" w:color="auto" w:sz="8" w:space="0"/>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20" w:type="dxa"/>
            <w:tcBorders>
              <w:top w:val="nil"/>
              <w:left w:val="single" w:color="auto" w:sz="8" w:space="0"/>
              <w:bottom w:val="single" w:color="auto" w:sz="8" w:space="0"/>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single" w:color="auto" w:sz="8" w:space="0"/>
              <w:bottom w:val="single" w:color="auto" w:sz="8" w:space="0"/>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c>
          <w:tcPr>
            <w:tcW w:w="1140" w:type="dxa"/>
            <w:tcBorders>
              <w:top w:val="nil"/>
              <w:left w:val="single" w:color="auto" w:sz="8" w:space="0"/>
              <w:bottom w:val="single" w:color="auto" w:sz="8" w:space="0"/>
              <w:right w:val="single" w:color="auto" w:sz="8" w:space="0"/>
            </w:tcBorders>
            <w:vAlign w:val="bottom"/>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0</w:t>
            </w:r>
          </w:p>
        </w:tc>
      </w:tr>
      <w:tr>
        <w:tblPrEx>
          <w:tblCellMar>
            <w:top w:w="0" w:type="dxa"/>
            <w:left w:w="0" w:type="dxa"/>
            <w:bottom w:w="0" w:type="dxa"/>
            <w:right w:w="0" w:type="dxa"/>
          </w:tblCellMar>
        </w:tblPrEx>
        <w:trPr>
          <w:trHeight w:val="543" w:hRule="atLeast"/>
        </w:trPr>
        <w:tc>
          <w:tcPr>
            <w:tcW w:w="3280" w:type="dxa"/>
            <w:gridSpan w:val="3"/>
            <w:tcBorders>
              <w:top w:val="single" w:color="auto" w:sz="8" w:space="0"/>
              <w:left w:val="single" w:color="auto" w:sz="8" w:space="0"/>
              <w:bottom w:val="single" w:color="auto" w:sz="8" w:space="0"/>
              <w:right w:val="single" w:color="auto" w:sz="8" w:space="0"/>
            </w:tcBorders>
            <w:vAlign w:val="center"/>
          </w:tcPr>
          <w:p>
            <w:pPr>
              <w:spacing w:after="0" w:line="253" w:lineRule="exact"/>
              <w:ind w:left="160"/>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Cs w:val="24"/>
                <w14:textFill>
                  <w14:solidFill>
                    <w14:schemeClr w14:val="tx1"/>
                  </w14:solidFill>
                </w14:textFill>
              </w:rPr>
              <w:t>Persentase BPR/LKM Aktif</w:t>
            </w:r>
          </w:p>
        </w:tc>
        <w:tc>
          <w:tcPr>
            <w:tcW w:w="1140" w:type="dxa"/>
            <w:tcBorders>
              <w:top w:val="single" w:color="auto" w:sz="8" w:space="0"/>
              <w:left w:val="single" w:color="auto" w:sz="8" w:space="0"/>
              <w:bottom w:val="single" w:color="auto" w:sz="8" w:space="0"/>
              <w:right w:val="single" w:color="auto" w:sz="8" w:space="0"/>
            </w:tcBorders>
            <w:vAlign w:val="center"/>
          </w:tcPr>
          <w:p>
            <w:pPr>
              <w:spacing w:after="0" w:line="24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100</w:t>
            </w:r>
          </w:p>
        </w:tc>
        <w:tc>
          <w:tcPr>
            <w:tcW w:w="1140" w:type="dxa"/>
            <w:tcBorders>
              <w:top w:val="single" w:color="auto" w:sz="8" w:space="0"/>
              <w:left w:val="single" w:color="auto" w:sz="8" w:space="0"/>
              <w:bottom w:val="single" w:color="auto" w:sz="8" w:space="0"/>
              <w:right w:val="single" w:color="auto" w:sz="8" w:space="0"/>
            </w:tcBorders>
            <w:vAlign w:val="center"/>
          </w:tcPr>
          <w:p>
            <w:pPr>
              <w:spacing w:after="0" w:line="24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100</w:t>
            </w:r>
          </w:p>
        </w:tc>
        <w:tc>
          <w:tcPr>
            <w:tcW w:w="1120" w:type="dxa"/>
            <w:tcBorders>
              <w:top w:val="single" w:color="auto" w:sz="8" w:space="0"/>
              <w:left w:val="single" w:color="auto" w:sz="8" w:space="0"/>
              <w:bottom w:val="single" w:color="auto" w:sz="8" w:space="0"/>
              <w:right w:val="single" w:color="auto" w:sz="8" w:space="0"/>
            </w:tcBorders>
            <w:vAlign w:val="center"/>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c>
          <w:tcPr>
            <w:tcW w:w="1140" w:type="dxa"/>
            <w:tcBorders>
              <w:top w:val="single" w:color="auto" w:sz="8" w:space="0"/>
              <w:left w:val="single" w:color="auto" w:sz="8" w:space="0"/>
              <w:bottom w:val="single" w:color="auto" w:sz="8" w:space="0"/>
              <w:right w:val="single" w:color="auto" w:sz="8" w:space="0"/>
            </w:tcBorders>
            <w:vAlign w:val="center"/>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c>
          <w:tcPr>
            <w:tcW w:w="1140" w:type="dxa"/>
            <w:tcBorders>
              <w:top w:val="single" w:color="auto" w:sz="8" w:space="0"/>
              <w:left w:val="single" w:color="auto" w:sz="8" w:space="0"/>
              <w:bottom w:val="single" w:color="auto" w:sz="8" w:space="0"/>
              <w:right w:val="single" w:color="auto" w:sz="8" w:space="0"/>
            </w:tcBorders>
            <w:vAlign w:val="center"/>
          </w:tcPr>
          <w:p>
            <w:pPr>
              <w:spacing w:after="0" w:line="244"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100</w:t>
            </w:r>
          </w:p>
        </w:tc>
      </w:tr>
    </w:tbl>
    <w:p>
      <w:pPr>
        <w:tabs>
          <w:tab w:val="left" w:pos="567"/>
        </w:tabs>
        <w:autoSpaceDE w:val="0"/>
        <w:autoSpaceDN w:val="0"/>
        <w:adjustRightInd w:val="0"/>
        <w:spacing w:after="0" w:line="360" w:lineRule="auto"/>
        <w:ind w:left="0" w:leftChars="0" w:firstLine="0" w:firstLineChars="0"/>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numPr>
          <w:ilvl w:val="0"/>
          <w:numId w:val="26"/>
        </w:numPr>
        <w:tabs>
          <w:tab w:val="left" w:pos="567"/>
          <w:tab w:val="clear" w:pos="720"/>
        </w:tabs>
        <w:autoSpaceDE w:val="0"/>
        <w:autoSpaceDN w:val="0"/>
        <w:adjustRightInd w:val="0"/>
        <w:spacing w:after="0" w:line="360" w:lineRule="auto"/>
        <w:ind w:left="426" w:hanging="426"/>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Persentase UMKM yang produktif</w:t>
      </w:r>
    </w:p>
    <w:p>
      <w:pPr>
        <w:tabs>
          <w:tab w:val="left" w:pos="567"/>
          <w:tab w:val="left" w:pos="1418"/>
        </w:tabs>
        <w:autoSpaceDE w:val="0"/>
        <w:autoSpaceDN w:val="0"/>
        <w:adjustRightInd w:val="0"/>
        <w:spacing w:after="0" w:line="360" w:lineRule="auto"/>
        <w:ind w:left="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Selain pembinaan yang selama ini di laksanakan oleh Dinas Perdagangan, Koperasi dan Usaha Kecil dan Menengah bidang pembinaan UKM, juga tidak kalah pentingnya untuk diperhatikan adalah pengembangan wirausaha baru. Bidang pembinaan UKM terus mendorong wirausaha baru agar menjadi lokomotif pengerak perekonomian daerah serta berperan dalam menanggulangi pengangguran dan menghambat urbanisasi.</w:t>
      </w:r>
    </w:p>
    <w:p>
      <w:pPr>
        <w:tabs>
          <w:tab w:val="left" w:pos="1418"/>
        </w:tabs>
        <w:spacing w:after="0" w:line="355" w:lineRule="auto"/>
        <w:ind w:left="480" w:firstLine="720"/>
        <w:jc w:val="both"/>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ab/>
      </w:r>
      <w:r>
        <w:rPr>
          <w:rFonts w:ascii="Bookman Old Style" w:hAnsi="Bookman Old Style" w:eastAsia="Arial" w:cs="Tahoma"/>
          <w:color w:val="000000" w:themeColor="text1"/>
          <w:sz w:val="24"/>
          <w:szCs w:val="24"/>
          <w14:textFill>
            <w14:solidFill>
              <w14:schemeClr w14:val="tx1"/>
            </w14:solidFill>
          </w14:textFill>
        </w:rPr>
        <w:t xml:space="preserve">Persentase usaha mikro dan kecil juga sangat baik dari tahun 2016 sampai tahun 2020 yakni 100 persen ini menunjukkan aktifitas usaha mikro dan kecil di Kabupaten Kepulauan Selayar mampu bertahan dimasa krisis akibat pandemic Covid–19. Ini dapat dilihat pada </w:t>
      </w:r>
      <w:r>
        <w:rPr>
          <w:rFonts w:ascii="Bookman Old Style" w:hAnsi="Bookman Old Style" w:eastAsia="Arial" w:cs="Tahoma"/>
          <w:bCs/>
          <w:color w:val="000000" w:themeColor="text1"/>
          <w:sz w:val="24"/>
          <w:szCs w:val="24"/>
          <w14:textFill>
            <w14:solidFill>
              <w14:schemeClr w14:val="tx1"/>
            </w14:solidFill>
          </w14:textFill>
        </w:rPr>
        <w:t>Tabel 2.3.6.</w:t>
      </w:r>
    </w:p>
    <w:p>
      <w:pPr>
        <w:spacing w:after="0" w:line="355" w:lineRule="auto"/>
        <w:jc w:val="both"/>
        <w:rPr>
          <w:rFonts w:ascii="Bookman Old Style" w:hAnsi="Bookman Old Style" w:eastAsia="Arial" w:cs="Tahoma"/>
          <w:bCs/>
          <w:color w:val="000000" w:themeColor="text1"/>
          <w:sz w:val="14"/>
          <w:szCs w:val="14"/>
          <w14:textFill>
            <w14:solidFill>
              <w14:schemeClr w14:val="tx1"/>
            </w14:solidFill>
          </w14:textFill>
        </w:rPr>
      </w:pPr>
    </w:p>
    <w:p>
      <w:pPr>
        <w:spacing w:after="0" w:line="3" w:lineRule="exact"/>
        <w:rPr>
          <w:rFonts w:ascii="Bookman Old Style" w:hAnsi="Bookman Old Style" w:eastAsia="Times New Roman" w:cs="Tahoma"/>
          <w:bCs/>
          <w:color w:val="000000" w:themeColor="text1"/>
          <w:sz w:val="24"/>
          <w:szCs w:val="24"/>
          <w14:textFill>
            <w14:solidFill>
              <w14:schemeClr w14:val="tx1"/>
            </w14:solidFill>
          </w14:textFill>
        </w:rPr>
      </w:pPr>
    </w:p>
    <w:p>
      <w:pPr>
        <w:spacing w:after="0" w:line="0" w:lineRule="atLeast"/>
        <w:ind w:left="414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Tabel 2.3.6</w:t>
      </w:r>
    </w:p>
    <w:p>
      <w:pPr>
        <w:spacing w:after="0" w:line="0" w:lineRule="atLeast"/>
        <w:ind w:left="184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Persentase Usaha Mikro dan Kecil Menurut Kecamatan</w:t>
      </w: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p>
    <w:tbl>
      <w:tblPr>
        <w:tblStyle w:val="4"/>
        <w:tblW w:w="8733" w:type="dxa"/>
        <w:tblInd w:w="490" w:type="dxa"/>
        <w:tblLayout w:type="fixed"/>
        <w:tblCellMar>
          <w:top w:w="0" w:type="dxa"/>
          <w:left w:w="0" w:type="dxa"/>
          <w:bottom w:w="0" w:type="dxa"/>
          <w:right w:w="0" w:type="dxa"/>
        </w:tblCellMar>
      </w:tblPr>
      <w:tblGrid>
        <w:gridCol w:w="420"/>
        <w:gridCol w:w="40"/>
        <w:gridCol w:w="3738"/>
        <w:gridCol w:w="860"/>
        <w:gridCol w:w="983"/>
        <w:gridCol w:w="992"/>
        <w:gridCol w:w="840"/>
        <w:gridCol w:w="860"/>
      </w:tblGrid>
      <w:tr>
        <w:tblPrEx>
          <w:tblCellMar>
            <w:top w:w="0" w:type="dxa"/>
            <w:left w:w="0" w:type="dxa"/>
            <w:bottom w:w="0" w:type="dxa"/>
            <w:right w:w="0" w:type="dxa"/>
          </w:tblCellMar>
        </w:tblPrEx>
        <w:trPr>
          <w:trHeight w:val="166" w:hRule="atLeast"/>
        </w:trPr>
        <w:tc>
          <w:tcPr>
            <w:tcW w:w="420" w:type="dxa"/>
            <w:vMerge w:val="restart"/>
            <w:tcBorders>
              <w:top w:val="single" w:color="auto" w:sz="8" w:space="0"/>
              <w:left w:val="single" w:color="auto" w:sz="8" w:space="0"/>
              <w:right w:val="nil"/>
            </w:tcBorders>
            <w:shd w:val="clear" w:color="auto" w:fill="95B3D7"/>
            <w:vAlign w:val="center"/>
          </w:tcPr>
          <w:p>
            <w:pPr>
              <w:spacing w:after="0" w:line="0" w:lineRule="atLeast"/>
              <w:ind w:left="60"/>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No</w:t>
            </w:r>
          </w:p>
        </w:tc>
        <w:tc>
          <w:tcPr>
            <w:tcW w:w="40" w:type="dxa"/>
            <w:tcBorders>
              <w:top w:val="single" w:color="auto" w:sz="8" w:space="0"/>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vMerge w:val="restart"/>
            <w:tcBorders>
              <w:top w:val="single" w:color="auto" w:sz="8" w:space="0"/>
              <w:left w:val="nil"/>
              <w:right w:val="single" w:color="auto" w:sz="8" w:space="0"/>
            </w:tcBorders>
            <w:shd w:val="clear" w:color="auto" w:fill="95B3D7"/>
            <w:vAlign w:val="center"/>
          </w:tcPr>
          <w:p>
            <w:pPr>
              <w:spacing w:after="0" w:line="0" w:lineRule="atLeast"/>
              <w:ind w:left="1460"/>
              <w:jc w:val="both"/>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Kecamatan</w:t>
            </w:r>
          </w:p>
        </w:tc>
        <w:tc>
          <w:tcPr>
            <w:tcW w:w="4535" w:type="dxa"/>
            <w:gridSpan w:val="5"/>
            <w:vMerge w:val="restart"/>
            <w:tcBorders>
              <w:top w:val="single" w:color="auto" w:sz="8" w:space="0"/>
              <w:left w:val="nil"/>
              <w:right w:val="single" w:color="auto" w:sz="8" w:space="0"/>
            </w:tcBorders>
            <w:shd w:val="clear" w:color="auto" w:fill="95B3D7"/>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Tahun</w:t>
            </w:r>
          </w:p>
        </w:tc>
      </w:tr>
      <w:tr>
        <w:tblPrEx>
          <w:tblCellMar>
            <w:top w:w="0" w:type="dxa"/>
            <w:left w:w="0" w:type="dxa"/>
            <w:bottom w:w="0" w:type="dxa"/>
            <w:right w:w="0" w:type="dxa"/>
          </w:tblCellMar>
        </w:tblPrEx>
        <w:trPr>
          <w:trHeight w:val="144" w:hRule="atLeast"/>
        </w:trPr>
        <w:tc>
          <w:tcPr>
            <w:tcW w:w="420" w:type="dxa"/>
            <w:vMerge w:val="continue"/>
            <w:tcBorders>
              <w:left w:val="single" w:color="auto" w:sz="8" w:space="0"/>
              <w:right w:val="nil"/>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vMerge w:val="continue"/>
            <w:tcBorders>
              <w:left w:val="nil"/>
              <w:right w:val="single" w:color="auto" w:sz="8" w:space="0"/>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4535" w:type="dxa"/>
            <w:gridSpan w:val="5"/>
            <w:vMerge w:val="continue"/>
            <w:tcBorders>
              <w:left w:val="nil"/>
              <w:bottom w:val="single" w:color="auto" w:sz="8" w:space="0"/>
              <w:right w:val="single" w:color="auto" w:sz="8" w:space="0"/>
            </w:tcBorders>
            <w:shd w:val="clear" w:color="auto" w:fill="95B3D7"/>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02" w:hRule="atLeast"/>
        </w:trPr>
        <w:tc>
          <w:tcPr>
            <w:tcW w:w="420" w:type="dxa"/>
            <w:vMerge w:val="continue"/>
            <w:tcBorders>
              <w:left w:val="single" w:color="auto" w:sz="8" w:space="0"/>
              <w:right w:val="nil"/>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vMerge w:val="continue"/>
            <w:tcBorders>
              <w:left w:val="nil"/>
              <w:right w:val="single" w:color="auto" w:sz="8" w:space="0"/>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86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2016</w:t>
            </w:r>
          </w:p>
        </w:tc>
        <w:tc>
          <w:tcPr>
            <w:tcW w:w="983"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2017</w:t>
            </w:r>
          </w:p>
        </w:tc>
        <w:tc>
          <w:tcPr>
            <w:tcW w:w="992"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2018</w:t>
            </w:r>
          </w:p>
        </w:tc>
        <w:tc>
          <w:tcPr>
            <w:tcW w:w="8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2019</w:t>
            </w:r>
          </w:p>
        </w:tc>
        <w:tc>
          <w:tcPr>
            <w:tcW w:w="86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66" w:lineRule="exact"/>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2020</w:t>
            </w:r>
          </w:p>
        </w:tc>
      </w:tr>
      <w:tr>
        <w:tblPrEx>
          <w:tblCellMar>
            <w:top w:w="0" w:type="dxa"/>
            <w:left w:w="0" w:type="dxa"/>
            <w:bottom w:w="0" w:type="dxa"/>
            <w:right w:w="0" w:type="dxa"/>
          </w:tblCellMar>
        </w:tblPrEx>
        <w:trPr>
          <w:trHeight w:val="166" w:hRule="atLeast"/>
        </w:trPr>
        <w:tc>
          <w:tcPr>
            <w:tcW w:w="420" w:type="dxa"/>
            <w:vMerge w:val="continue"/>
            <w:tcBorders>
              <w:left w:val="single" w:color="auto" w:sz="8" w:space="0"/>
              <w:bottom w:val="single" w:color="auto" w:sz="8" w:space="0"/>
              <w:right w:val="nil"/>
            </w:tcBorders>
            <w:shd w:val="clear" w:color="auto" w:fill="95B3D7"/>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vMerge w:val="continue"/>
            <w:tcBorders>
              <w:left w:val="nil"/>
              <w:bottom w:val="single" w:color="auto" w:sz="8" w:space="0"/>
              <w:right w:val="single" w:color="auto" w:sz="8" w:space="0"/>
            </w:tcBorders>
            <w:shd w:val="clear" w:color="auto" w:fill="95B3D7"/>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vMerge w:val="continue"/>
            <w:tcBorders>
              <w:top w:val="single" w:color="95B3D7" w:sz="8" w:space="0"/>
              <w:left w:val="nil"/>
              <w:bottom w:val="single" w:color="auto" w:sz="8" w:space="0"/>
              <w:right w:val="single" w:color="auto" w:sz="8" w:space="0"/>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983" w:type="dxa"/>
            <w:vMerge w:val="continue"/>
            <w:tcBorders>
              <w:top w:val="single" w:color="95B3D7" w:sz="8" w:space="0"/>
              <w:left w:val="nil"/>
              <w:bottom w:val="single" w:color="auto" w:sz="8" w:space="0"/>
              <w:right w:val="single" w:color="auto" w:sz="8" w:space="0"/>
            </w:tcBorders>
            <w:vAlign w:val="center"/>
          </w:tcPr>
          <w:p>
            <w:pPr>
              <w:spacing w:after="0" w:line="240" w:lineRule="auto"/>
              <w:jc w:val="center"/>
              <w:rPr>
                <w:rFonts w:ascii="Bookman Old Style" w:hAnsi="Bookman Old Style" w:eastAsia="Arial" w:cs="Tahoma"/>
                <w:b/>
                <w:color w:val="000000" w:themeColor="text1"/>
                <w:w w:val="97"/>
                <w:sz w:val="24"/>
                <w:szCs w:val="24"/>
                <w14:textFill>
                  <w14:solidFill>
                    <w14:schemeClr w14:val="tx1"/>
                  </w14:solidFill>
                </w14:textFill>
              </w:rPr>
            </w:pPr>
          </w:p>
        </w:tc>
        <w:tc>
          <w:tcPr>
            <w:tcW w:w="992" w:type="dxa"/>
            <w:vMerge w:val="continue"/>
            <w:tcBorders>
              <w:top w:val="single" w:color="95B3D7" w:sz="8" w:space="0"/>
              <w:left w:val="nil"/>
              <w:bottom w:val="single" w:color="auto" w:sz="8" w:space="0"/>
              <w:right w:val="single" w:color="auto" w:sz="8" w:space="0"/>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c>
          <w:tcPr>
            <w:tcW w:w="840" w:type="dxa"/>
            <w:vMerge w:val="continue"/>
            <w:tcBorders>
              <w:top w:val="single" w:color="95B3D7" w:sz="8" w:space="0"/>
              <w:left w:val="nil"/>
              <w:bottom w:val="single" w:color="auto" w:sz="8" w:space="0"/>
              <w:right w:val="single" w:color="auto" w:sz="8" w:space="0"/>
            </w:tcBorders>
            <w:vAlign w:val="center"/>
          </w:tcPr>
          <w:p>
            <w:pPr>
              <w:spacing w:after="0" w:line="240" w:lineRule="auto"/>
              <w:jc w:val="center"/>
              <w:rPr>
                <w:rFonts w:ascii="Bookman Old Style" w:hAnsi="Bookman Old Style" w:eastAsia="Arial" w:cs="Tahoma"/>
                <w:b/>
                <w:color w:val="000000" w:themeColor="text1"/>
                <w:w w:val="97"/>
                <w:sz w:val="24"/>
                <w:szCs w:val="24"/>
                <w14:textFill>
                  <w14:solidFill>
                    <w14:schemeClr w14:val="tx1"/>
                  </w14:solidFill>
                </w14:textFill>
              </w:rPr>
            </w:pPr>
          </w:p>
        </w:tc>
        <w:tc>
          <w:tcPr>
            <w:tcW w:w="860" w:type="dxa"/>
            <w:vMerge w:val="continue"/>
            <w:tcBorders>
              <w:top w:val="single" w:color="95B3D7" w:sz="8" w:space="0"/>
              <w:left w:val="nil"/>
              <w:bottom w:val="single" w:color="auto" w:sz="8" w:space="0"/>
              <w:right w:val="single" w:color="auto" w:sz="8" w:space="0"/>
            </w:tcBorders>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74" w:hRule="atLeast"/>
        </w:trPr>
        <w:tc>
          <w:tcPr>
            <w:tcW w:w="420" w:type="dxa"/>
            <w:tcBorders>
              <w:top w:val="nil"/>
              <w:left w:val="single" w:color="auto" w:sz="8" w:space="0"/>
              <w:bottom w:val="nil"/>
              <w:right w:val="nil"/>
            </w:tcBorders>
            <w:vAlign w:val="center"/>
          </w:tcPr>
          <w:p>
            <w:pPr>
              <w:spacing w:after="0" w:line="270"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70"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Pasimarannu</w:t>
            </w:r>
          </w:p>
        </w:tc>
        <w:tc>
          <w:tcPr>
            <w:tcW w:w="860" w:type="dxa"/>
            <w:tcBorders>
              <w:top w:val="nil"/>
              <w:left w:val="nil"/>
              <w:bottom w:val="nil"/>
              <w:right w:val="single" w:color="auto" w:sz="8" w:space="0"/>
            </w:tcBorders>
            <w:vAlign w:val="center"/>
          </w:tcPr>
          <w:p>
            <w:pPr>
              <w:spacing w:after="0" w:line="27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7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4,21</w:t>
            </w:r>
          </w:p>
        </w:tc>
        <w:tc>
          <w:tcPr>
            <w:tcW w:w="992" w:type="dxa"/>
            <w:tcBorders>
              <w:top w:val="nil"/>
              <w:left w:val="nil"/>
              <w:bottom w:val="nil"/>
              <w:right w:val="single" w:color="auto" w:sz="8" w:space="0"/>
            </w:tcBorders>
            <w:vAlign w:val="center"/>
          </w:tcPr>
          <w:p>
            <w:pPr>
              <w:spacing w:after="0" w:line="274"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8,54</w:t>
            </w:r>
          </w:p>
        </w:tc>
        <w:tc>
          <w:tcPr>
            <w:tcW w:w="840" w:type="dxa"/>
            <w:tcBorders>
              <w:top w:val="nil"/>
              <w:left w:val="nil"/>
              <w:bottom w:val="nil"/>
              <w:right w:val="single" w:color="auto" w:sz="8" w:space="0"/>
            </w:tcBorders>
            <w:vAlign w:val="center"/>
          </w:tcPr>
          <w:p>
            <w:pPr>
              <w:spacing w:after="0" w:line="274"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4,04</w:t>
            </w:r>
          </w:p>
        </w:tc>
        <w:tc>
          <w:tcPr>
            <w:tcW w:w="860" w:type="dxa"/>
            <w:tcBorders>
              <w:top w:val="nil"/>
              <w:left w:val="nil"/>
              <w:bottom w:val="nil"/>
              <w:right w:val="single" w:color="auto" w:sz="8" w:space="0"/>
            </w:tcBorders>
            <w:vAlign w:val="center"/>
          </w:tcPr>
          <w:p>
            <w:pPr>
              <w:spacing w:after="0" w:line="274"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12,12</w:t>
            </w:r>
          </w:p>
        </w:tc>
      </w:tr>
      <w:tr>
        <w:tblPrEx>
          <w:tblCellMar>
            <w:top w:w="0" w:type="dxa"/>
            <w:left w:w="0" w:type="dxa"/>
            <w:bottom w:w="0" w:type="dxa"/>
            <w:right w:w="0" w:type="dxa"/>
          </w:tblCellMar>
        </w:tblPrEx>
        <w:trPr>
          <w:trHeight w:val="46"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nil"/>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2"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Pasilambena</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0</w:t>
            </w:r>
          </w:p>
        </w:tc>
        <w:tc>
          <w:tcPr>
            <w:tcW w:w="992"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0</w:t>
            </w:r>
          </w:p>
        </w:tc>
        <w:tc>
          <w:tcPr>
            <w:tcW w:w="84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12,22</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8,58</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6" w:hRule="atLeast"/>
        </w:trPr>
        <w:tc>
          <w:tcPr>
            <w:tcW w:w="420" w:type="dxa"/>
            <w:tcBorders>
              <w:top w:val="nil"/>
              <w:left w:val="single" w:color="auto" w:sz="8" w:space="0"/>
              <w:bottom w:val="nil"/>
              <w:right w:val="nil"/>
            </w:tcBorders>
            <w:vAlign w:val="center"/>
          </w:tcPr>
          <w:p>
            <w:pPr>
              <w:spacing w:after="0" w:line="265"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5"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9,71</w:t>
            </w:r>
          </w:p>
        </w:tc>
        <w:tc>
          <w:tcPr>
            <w:tcW w:w="992"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11,89</w:t>
            </w:r>
          </w:p>
        </w:tc>
        <w:tc>
          <w:tcPr>
            <w:tcW w:w="84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9,99</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5,29</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6" w:hRule="atLeast"/>
        </w:trPr>
        <w:tc>
          <w:tcPr>
            <w:tcW w:w="420" w:type="dxa"/>
            <w:tcBorders>
              <w:top w:val="nil"/>
              <w:left w:val="single" w:color="auto" w:sz="8" w:space="0"/>
              <w:bottom w:val="nil"/>
              <w:right w:val="nil"/>
            </w:tcBorders>
            <w:vAlign w:val="center"/>
          </w:tcPr>
          <w:p>
            <w:pPr>
              <w:spacing w:after="0" w:line="265"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4</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5"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Taka bonerate</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6,47</w:t>
            </w:r>
          </w:p>
        </w:tc>
        <w:tc>
          <w:tcPr>
            <w:tcW w:w="992"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6,99</w:t>
            </w:r>
          </w:p>
        </w:tc>
        <w:tc>
          <w:tcPr>
            <w:tcW w:w="84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2,19</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6,48</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6" w:hRule="atLeast"/>
        </w:trPr>
        <w:tc>
          <w:tcPr>
            <w:tcW w:w="420" w:type="dxa"/>
            <w:tcBorders>
              <w:top w:val="nil"/>
              <w:left w:val="single" w:color="auto" w:sz="8" w:space="0"/>
              <w:bottom w:val="nil"/>
              <w:right w:val="nil"/>
            </w:tcBorders>
            <w:vAlign w:val="center"/>
          </w:tcPr>
          <w:p>
            <w:pPr>
              <w:spacing w:after="0" w:line="265"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5"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 Timur</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4,85</w:t>
            </w:r>
          </w:p>
        </w:tc>
        <w:tc>
          <w:tcPr>
            <w:tcW w:w="992"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6,64</w:t>
            </w:r>
          </w:p>
        </w:tc>
        <w:tc>
          <w:tcPr>
            <w:tcW w:w="84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6,44</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5,41</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nil"/>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2"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Bontosikuyu</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27,83</w:t>
            </w:r>
          </w:p>
        </w:tc>
        <w:tc>
          <w:tcPr>
            <w:tcW w:w="992"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23,28</w:t>
            </w:r>
          </w:p>
        </w:tc>
        <w:tc>
          <w:tcPr>
            <w:tcW w:w="84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49,07</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10,75</w:t>
            </w:r>
          </w:p>
        </w:tc>
      </w:tr>
      <w:tr>
        <w:tblPrEx>
          <w:tblCellMar>
            <w:top w:w="0" w:type="dxa"/>
            <w:left w:w="0" w:type="dxa"/>
            <w:bottom w:w="0" w:type="dxa"/>
            <w:right w:w="0" w:type="dxa"/>
          </w:tblCellMar>
        </w:tblPrEx>
        <w:trPr>
          <w:trHeight w:val="46"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nil"/>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7</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2"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Bontoharu</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3,88</w:t>
            </w:r>
          </w:p>
        </w:tc>
        <w:tc>
          <w:tcPr>
            <w:tcW w:w="992"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4,70</w:t>
            </w:r>
          </w:p>
        </w:tc>
        <w:tc>
          <w:tcPr>
            <w:tcW w:w="84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5,53</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11,29</w:t>
            </w:r>
          </w:p>
        </w:tc>
      </w:tr>
      <w:tr>
        <w:tblPrEx>
          <w:tblCellMar>
            <w:top w:w="0" w:type="dxa"/>
            <w:left w:w="0" w:type="dxa"/>
            <w:bottom w:w="0" w:type="dxa"/>
            <w:right w:w="0" w:type="dxa"/>
          </w:tblCellMar>
        </w:tblPrEx>
        <w:trPr>
          <w:trHeight w:val="46"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nil"/>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8</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2"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Benteng</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1,62</w:t>
            </w:r>
          </w:p>
        </w:tc>
        <w:tc>
          <w:tcPr>
            <w:tcW w:w="992"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2,15</w:t>
            </w:r>
          </w:p>
        </w:tc>
        <w:tc>
          <w:tcPr>
            <w:tcW w:w="84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1,40</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12,19</w:t>
            </w:r>
          </w:p>
        </w:tc>
      </w:tr>
      <w:tr>
        <w:tblPrEx>
          <w:tblCellMar>
            <w:top w:w="0" w:type="dxa"/>
            <w:left w:w="0" w:type="dxa"/>
            <w:bottom w:w="0" w:type="dxa"/>
            <w:right w:w="0" w:type="dxa"/>
          </w:tblCellMar>
        </w:tblPrEx>
        <w:trPr>
          <w:trHeight w:val="46"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20" w:type="dxa"/>
            <w:tcBorders>
              <w:top w:val="nil"/>
              <w:left w:val="single" w:color="auto" w:sz="8" w:space="0"/>
              <w:bottom w:val="nil"/>
              <w:right w:val="nil"/>
            </w:tcBorders>
            <w:vAlign w:val="center"/>
          </w:tcPr>
          <w:p>
            <w:pPr>
              <w:spacing w:after="0" w:line="262" w:lineRule="exact"/>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9</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2"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Bontomanai</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3,56</w:t>
            </w:r>
          </w:p>
        </w:tc>
        <w:tc>
          <w:tcPr>
            <w:tcW w:w="992"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4,95</w:t>
            </w:r>
          </w:p>
        </w:tc>
        <w:tc>
          <w:tcPr>
            <w:tcW w:w="84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4,33</w:t>
            </w:r>
          </w:p>
        </w:tc>
        <w:tc>
          <w:tcPr>
            <w:tcW w:w="860" w:type="dxa"/>
            <w:tcBorders>
              <w:top w:val="nil"/>
              <w:left w:val="nil"/>
              <w:bottom w:val="nil"/>
              <w:right w:val="single" w:color="auto" w:sz="8" w:space="0"/>
            </w:tcBorders>
            <w:vAlign w:val="center"/>
          </w:tcPr>
          <w:p>
            <w:pPr>
              <w:spacing w:after="0" w:line="262"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8,26</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6" w:hRule="atLeast"/>
        </w:trPr>
        <w:tc>
          <w:tcPr>
            <w:tcW w:w="420" w:type="dxa"/>
            <w:tcBorders>
              <w:top w:val="nil"/>
              <w:left w:val="single" w:color="auto" w:sz="8" w:space="0"/>
              <w:bottom w:val="nil"/>
              <w:right w:val="nil"/>
            </w:tcBorders>
            <w:vAlign w:val="center"/>
          </w:tcPr>
          <w:p>
            <w:pPr>
              <w:spacing w:after="0" w:line="265"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5"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Bontomatene</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34,63</w:t>
            </w:r>
          </w:p>
        </w:tc>
        <w:tc>
          <w:tcPr>
            <w:tcW w:w="992"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26,57</w:t>
            </w:r>
          </w:p>
        </w:tc>
        <w:tc>
          <w:tcPr>
            <w:tcW w:w="84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8,50</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9"/>
                <w:sz w:val="24"/>
                <w:szCs w:val="24"/>
                <w14:textFill>
                  <w14:solidFill>
                    <w14:schemeClr w14:val="tx1"/>
                  </w14:solidFill>
                </w14:textFill>
              </w:rPr>
            </w:pPr>
            <w:r>
              <w:rPr>
                <w:rFonts w:ascii="Bookman Old Style" w:hAnsi="Bookman Old Style" w:eastAsia="Arial" w:cs="Tahoma"/>
                <w:color w:val="000000" w:themeColor="text1"/>
                <w:w w:val="99"/>
                <w:sz w:val="24"/>
                <w:szCs w:val="24"/>
                <w14:textFill>
                  <w14:solidFill>
                    <w14:schemeClr w14:val="tx1"/>
                  </w14:solidFill>
                </w14:textFill>
              </w:rPr>
              <w:t>10,24</w:t>
            </w:r>
          </w:p>
        </w:tc>
      </w:tr>
      <w:tr>
        <w:tblPrEx>
          <w:tblCellMar>
            <w:top w:w="0" w:type="dxa"/>
            <w:left w:w="0" w:type="dxa"/>
            <w:bottom w:w="0" w:type="dxa"/>
            <w:right w:w="0" w:type="dxa"/>
          </w:tblCellMar>
        </w:tblPrEx>
        <w:trPr>
          <w:trHeight w:val="42" w:hRule="atLeast"/>
        </w:trPr>
        <w:tc>
          <w:tcPr>
            <w:tcW w:w="420" w:type="dxa"/>
            <w:tcBorders>
              <w:top w:val="nil"/>
              <w:left w:val="single" w:color="auto" w:sz="8" w:space="0"/>
              <w:bottom w:val="single" w:color="auto" w:sz="8" w:space="0"/>
              <w:right w:val="nil"/>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6" w:hRule="atLeast"/>
        </w:trPr>
        <w:tc>
          <w:tcPr>
            <w:tcW w:w="420" w:type="dxa"/>
            <w:tcBorders>
              <w:top w:val="nil"/>
              <w:left w:val="single" w:color="auto" w:sz="8" w:space="0"/>
              <w:bottom w:val="nil"/>
              <w:right w:val="nil"/>
            </w:tcBorders>
            <w:vAlign w:val="center"/>
          </w:tcPr>
          <w:p>
            <w:pPr>
              <w:spacing w:after="0" w:line="265" w:lineRule="exact"/>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11</w:t>
            </w:r>
          </w:p>
        </w:tc>
        <w:tc>
          <w:tcPr>
            <w:tcW w:w="40" w:type="dxa"/>
            <w:tcBorders>
              <w:top w:val="nil"/>
              <w:left w:val="nil"/>
              <w:bottom w:val="nil"/>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nil"/>
              <w:right w:val="single" w:color="auto" w:sz="8" w:space="0"/>
            </w:tcBorders>
            <w:vAlign w:val="center"/>
          </w:tcPr>
          <w:p>
            <w:pPr>
              <w:spacing w:after="0" w:line="265" w:lineRule="exact"/>
              <w:ind w:left="120"/>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Buki</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n/a</w:t>
            </w:r>
          </w:p>
        </w:tc>
        <w:tc>
          <w:tcPr>
            <w:tcW w:w="983"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3,24</w:t>
            </w:r>
          </w:p>
        </w:tc>
        <w:tc>
          <w:tcPr>
            <w:tcW w:w="992"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4,30</w:t>
            </w:r>
          </w:p>
        </w:tc>
        <w:tc>
          <w:tcPr>
            <w:tcW w:w="84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4,54</w:t>
            </w:r>
          </w:p>
        </w:tc>
        <w:tc>
          <w:tcPr>
            <w:tcW w:w="860" w:type="dxa"/>
            <w:tcBorders>
              <w:top w:val="nil"/>
              <w:left w:val="nil"/>
              <w:bottom w:val="nil"/>
              <w:right w:val="single" w:color="auto" w:sz="8" w:space="0"/>
            </w:tcBorders>
            <w:vAlign w:val="center"/>
          </w:tcPr>
          <w:p>
            <w:pPr>
              <w:spacing w:after="0" w:line="266" w:lineRule="exact"/>
              <w:jc w:val="center"/>
              <w:rPr>
                <w:rFonts w:ascii="Bookman Old Style" w:hAnsi="Bookman Old Style" w:eastAsia="Arial" w:cs="Tahoma"/>
                <w:color w:val="000000" w:themeColor="text1"/>
                <w:w w:val="98"/>
                <w:sz w:val="24"/>
                <w:szCs w:val="24"/>
                <w14:textFill>
                  <w14:solidFill>
                    <w14:schemeClr w14:val="tx1"/>
                  </w14:solidFill>
                </w14:textFill>
              </w:rPr>
            </w:pPr>
            <w:r>
              <w:rPr>
                <w:rFonts w:ascii="Bookman Old Style" w:hAnsi="Bookman Old Style" w:eastAsia="Arial" w:cs="Tahoma"/>
                <w:color w:val="000000" w:themeColor="text1"/>
                <w:w w:val="98"/>
                <w:sz w:val="24"/>
                <w:szCs w:val="24"/>
                <w14:textFill>
                  <w14:solidFill>
                    <w14:schemeClr w14:val="tx1"/>
                  </w14:solidFill>
                </w14:textFill>
              </w:rPr>
              <w:t>9,39</w:t>
            </w:r>
          </w:p>
        </w:tc>
      </w:tr>
      <w:tr>
        <w:tblPrEx>
          <w:tblCellMar>
            <w:top w:w="0" w:type="dxa"/>
            <w:left w:w="0" w:type="dxa"/>
            <w:bottom w:w="0" w:type="dxa"/>
            <w:right w:w="0" w:type="dxa"/>
          </w:tblCellMar>
        </w:tblPrEx>
        <w:trPr>
          <w:trHeight w:val="42" w:hRule="atLeast"/>
        </w:trPr>
        <w:tc>
          <w:tcPr>
            <w:tcW w:w="460" w:type="dxa"/>
            <w:gridSpan w:val="2"/>
            <w:tcBorders>
              <w:top w:val="nil"/>
              <w:left w:val="single" w:color="auto" w:sz="8" w:space="0"/>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3738"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83"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992"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4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c>
          <w:tcPr>
            <w:tcW w:w="860" w:type="dxa"/>
            <w:tcBorders>
              <w:top w:val="nil"/>
              <w:left w:val="nil"/>
              <w:bottom w:val="single" w:color="auto" w:sz="8" w:space="0"/>
              <w:right w:val="single" w:color="auto" w:sz="8" w:space="0"/>
            </w:tcBorders>
            <w:vAlign w:val="center"/>
          </w:tcPr>
          <w:p>
            <w:pPr>
              <w:spacing w:after="0" w:line="0" w:lineRule="atLeast"/>
              <w:jc w:val="center"/>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4198" w:type="dxa"/>
            <w:gridSpan w:val="3"/>
            <w:tcBorders>
              <w:top w:val="nil"/>
              <w:left w:val="single" w:color="auto" w:sz="8" w:space="0"/>
              <w:bottom w:val="single" w:color="auto" w:sz="4" w:space="0"/>
              <w:right w:val="single" w:color="auto" w:sz="8" w:space="0"/>
            </w:tcBorders>
            <w:vAlign w:val="center"/>
          </w:tcPr>
          <w:p>
            <w:pPr>
              <w:spacing w:after="0" w:line="263" w:lineRule="exact"/>
              <w:ind w:left="160"/>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Persentase Usaha Mikro dan Kecil</w:t>
            </w:r>
          </w:p>
        </w:tc>
        <w:tc>
          <w:tcPr>
            <w:tcW w:w="860" w:type="dxa"/>
            <w:tcBorders>
              <w:top w:val="nil"/>
              <w:left w:val="nil"/>
              <w:bottom w:val="single" w:color="auto" w:sz="4" w:space="0"/>
              <w:right w:val="single" w:color="auto" w:sz="8" w:space="0"/>
            </w:tcBorders>
            <w:vAlign w:val="center"/>
          </w:tcPr>
          <w:p>
            <w:pPr>
              <w:spacing w:after="0" w:line="263" w:lineRule="exact"/>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n/a</w:t>
            </w:r>
          </w:p>
        </w:tc>
        <w:tc>
          <w:tcPr>
            <w:tcW w:w="983" w:type="dxa"/>
            <w:tcBorders>
              <w:top w:val="nil"/>
              <w:left w:val="nil"/>
              <w:bottom w:val="single" w:color="auto" w:sz="4" w:space="0"/>
              <w:right w:val="single" w:color="auto" w:sz="8" w:space="0"/>
            </w:tcBorders>
            <w:vAlign w:val="center"/>
          </w:tcPr>
          <w:p>
            <w:pPr>
              <w:spacing w:after="0" w:line="263" w:lineRule="exact"/>
              <w:jc w:val="center"/>
              <w:rPr>
                <w:rFonts w:ascii="Bookman Old Style" w:hAnsi="Bookman Old Style" w:eastAsia="Arial" w:cs="Tahoma"/>
                <w:b/>
                <w:color w:val="000000" w:themeColor="text1"/>
                <w:w w:val="99"/>
                <w:sz w:val="24"/>
                <w:szCs w:val="24"/>
                <w14:textFill>
                  <w14:solidFill>
                    <w14:schemeClr w14:val="tx1"/>
                  </w14:solidFill>
                </w14:textFill>
              </w:rPr>
            </w:pPr>
            <w:r>
              <w:rPr>
                <w:rFonts w:ascii="Bookman Old Style" w:hAnsi="Bookman Old Style" w:eastAsia="Arial" w:cs="Tahoma"/>
                <w:b/>
                <w:color w:val="000000" w:themeColor="text1"/>
                <w:w w:val="99"/>
                <w:sz w:val="24"/>
                <w:szCs w:val="24"/>
                <w14:textFill>
                  <w14:solidFill>
                    <w14:schemeClr w14:val="tx1"/>
                  </w14:solidFill>
                </w14:textFill>
              </w:rPr>
              <w:t>100</w:t>
            </w:r>
          </w:p>
        </w:tc>
        <w:tc>
          <w:tcPr>
            <w:tcW w:w="992" w:type="dxa"/>
            <w:tcBorders>
              <w:top w:val="nil"/>
              <w:left w:val="nil"/>
              <w:bottom w:val="single" w:color="auto" w:sz="4" w:space="0"/>
              <w:right w:val="single" w:color="auto" w:sz="8" w:space="0"/>
            </w:tcBorders>
            <w:vAlign w:val="center"/>
          </w:tcPr>
          <w:p>
            <w:pPr>
              <w:spacing w:after="0" w:line="263" w:lineRule="exact"/>
              <w:jc w:val="center"/>
              <w:rPr>
                <w:rFonts w:ascii="Bookman Old Style" w:hAnsi="Bookman Old Style" w:eastAsia="Arial" w:cs="Tahoma"/>
                <w:b/>
                <w:color w:val="000000" w:themeColor="text1"/>
                <w:w w:val="99"/>
                <w:sz w:val="24"/>
                <w:szCs w:val="24"/>
                <w14:textFill>
                  <w14:solidFill>
                    <w14:schemeClr w14:val="tx1"/>
                  </w14:solidFill>
                </w14:textFill>
              </w:rPr>
            </w:pPr>
            <w:r>
              <w:rPr>
                <w:rFonts w:ascii="Bookman Old Style" w:hAnsi="Bookman Old Style" w:eastAsia="Arial" w:cs="Tahoma"/>
                <w:b/>
                <w:color w:val="000000" w:themeColor="text1"/>
                <w:w w:val="99"/>
                <w:sz w:val="24"/>
                <w:szCs w:val="24"/>
                <w14:textFill>
                  <w14:solidFill>
                    <w14:schemeClr w14:val="tx1"/>
                  </w14:solidFill>
                </w14:textFill>
              </w:rPr>
              <w:t>100</w:t>
            </w:r>
          </w:p>
        </w:tc>
        <w:tc>
          <w:tcPr>
            <w:tcW w:w="840" w:type="dxa"/>
            <w:tcBorders>
              <w:top w:val="nil"/>
              <w:left w:val="nil"/>
              <w:bottom w:val="single" w:color="auto" w:sz="4" w:space="0"/>
              <w:right w:val="single" w:color="auto" w:sz="8" w:space="0"/>
            </w:tcBorders>
            <w:vAlign w:val="center"/>
          </w:tcPr>
          <w:p>
            <w:pPr>
              <w:spacing w:after="0" w:line="263" w:lineRule="exact"/>
              <w:jc w:val="center"/>
              <w:rPr>
                <w:rFonts w:ascii="Bookman Old Style" w:hAnsi="Bookman Old Style" w:eastAsia="Arial" w:cs="Tahoma"/>
                <w:b/>
                <w:color w:val="000000" w:themeColor="text1"/>
                <w:w w:val="99"/>
                <w:sz w:val="24"/>
                <w:szCs w:val="24"/>
                <w14:textFill>
                  <w14:solidFill>
                    <w14:schemeClr w14:val="tx1"/>
                  </w14:solidFill>
                </w14:textFill>
              </w:rPr>
            </w:pPr>
            <w:r>
              <w:rPr>
                <w:rFonts w:ascii="Bookman Old Style" w:hAnsi="Bookman Old Style" w:eastAsia="Arial" w:cs="Tahoma"/>
                <w:b/>
                <w:color w:val="000000" w:themeColor="text1"/>
                <w:w w:val="99"/>
                <w:sz w:val="24"/>
                <w:szCs w:val="24"/>
                <w14:textFill>
                  <w14:solidFill>
                    <w14:schemeClr w14:val="tx1"/>
                  </w14:solidFill>
                </w14:textFill>
              </w:rPr>
              <w:t>100</w:t>
            </w:r>
          </w:p>
        </w:tc>
        <w:tc>
          <w:tcPr>
            <w:tcW w:w="860" w:type="dxa"/>
            <w:tcBorders>
              <w:top w:val="nil"/>
              <w:left w:val="nil"/>
              <w:bottom w:val="single" w:color="auto" w:sz="4" w:space="0"/>
              <w:right w:val="single" w:color="auto" w:sz="8" w:space="0"/>
            </w:tcBorders>
            <w:vAlign w:val="center"/>
          </w:tcPr>
          <w:p>
            <w:pPr>
              <w:spacing w:after="0" w:line="263" w:lineRule="exact"/>
              <w:jc w:val="center"/>
              <w:rPr>
                <w:rFonts w:ascii="Bookman Old Style" w:hAnsi="Bookman Old Style" w:eastAsia="Arial" w:cs="Tahoma"/>
                <w:b/>
                <w:color w:val="000000" w:themeColor="text1"/>
                <w:w w:val="99"/>
                <w:sz w:val="24"/>
                <w:szCs w:val="24"/>
                <w14:textFill>
                  <w14:solidFill>
                    <w14:schemeClr w14:val="tx1"/>
                  </w14:solidFill>
                </w14:textFill>
              </w:rPr>
            </w:pPr>
            <w:r>
              <w:rPr>
                <w:rFonts w:ascii="Bookman Old Style" w:hAnsi="Bookman Old Style" w:eastAsia="Arial" w:cs="Tahoma"/>
                <w:b/>
                <w:color w:val="000000" w:themeColor="text1"/>
                <w:w w:val="99"/>
                <w:sz w:val="24"/>
                <w:szCs w:val="24"/>
                <w14:textFill>
                  <w14:solidFill>
                    <w14:schemeClr w14:val="tx1"/>
                  </w14:solidFill>
                </w14:textFill>
              </w:rPr>
              <w:t>100</w:t>
            </w:r>
          </w:p>
        </w:tc>
      </w:tr>
    </w:tbl>
    <w:p>
      <w:pPr>
        <w:tabs>
          <w:tab w:val="left" w:pos="567"/>
          <w:tab w:val="left" w:pos="1418"/>
        </w:tabs>
        <w:autoSpaceDE w:val="0"/>
        <w:autoSpaceDN w:val="0"/>
        <w:adjustRightInd w:val="0"/>
        <w:spacing w:after="0" w:line="360" w:lineRule="auto"/>
        <w:ind w:left="426"/>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567"/>
          <w:tab w:val="left" w:pos="1418"/>
        </w:tabs>
        <w:autoSpaceDE w:val="0"/>
        <w:autoSpaceDN w:val="0"/>
        <w:adjustRightInd w:val="0"/>
        <w:spacing w:after="0" w:line="360" w:lineRule="auto"/>
        <w:ind w:left="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Data Pelaku UKM yang produktif sampai pada tahun 2020 adalah sebagai berikut :</w:t>
      </w:r>
    </w:p>
    <w:p>
      <w:pPr>
        <w:numPr>
          <w:ilvl w:val="3"/>
          <w:numId w:val="29"/>
        </w:numPr>
        <w:tabs>
          <w:tab w:val="left" w:pos="993"/>
        </w:tabs>
        <w:spacing w:line="360" w:lineRule="auto"/>
        <w:ind w:left="851" w:hanging="425"/>
        <w:contextualSpacing/>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Database Pelaku UKM sebanyak 3.127 Orang </w:t>
      </w:r>
    </w:p>
    <w:p>
      <w:pPr>
        <w:numPr>
          <w:ilvl w:val="3"/>
          <w:numId w:val="29"/>
        </w:numPr>
        <w:tabs>
          <w:tab w:val="left" w:pos="993"/>
        </w:tabs>
        <w:spacing w:line="360" w:lineRule="auto"/>
        <w:ind w:left="851" w:hanging="425"/>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Total </w:t>
      </w:r>
      <w:r>
        <w:rPr>
          <w:rFonts w:ascii="Bookman Old Style" w:hAnsi="Bookman Old Style" w:eastAsia="Times New Roman" w:cs="Tahoma"/>
          <w:color w:val="000000" w:themeColor="text1"/>
          <w:sz w:val="24"/>
          <w:szCs w:val="24"/>
          <w14:textFill>
            <w14:solidFill>
              <w14:schemeClr w14:val="tx1"/>
            </w14:solidFill>
          </w14:textFill>
        </w:rPr>
        <w:t>Keseluruhan Jumlah Penerima Bantuan dari Tahun 2017-2020 Sebanyak 403 Kelompok, Dengan Jumlah Unit Sebanyak 1.732 Unit Bantuan Peralatan.</w:t>
      </w:r>
    </w:p>
    <w:p>
      <w:pPr>
        <w:spacing w:after="0" w:line="240" w:lineRule="auto"/>
        <w:contextualSpacing/>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       Tabel 2.3.7</w:t>
      </w:r>
    </w:p>
    <w:p>
      <w:pPr>
        <w:spacing w:after="0" w:line="240" w:lineRule="auto"/>
        <w:contextualSpacing/>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2017</w:t>
      </w:r>
    </w:p>
    <w:tbl>
      <w:tblPr>
        <w:tblStyle w:val="4"/>
        <w:tblW w:w="0" w:type="auto"/>
        <w:tblInd w:w="1101" w:type="dxa"/>
        <w:tblLayout w:type="autofit"/>
        <w:tblCellMar>
          <w:top w:w="0" w:type="dxa"/>
          <w:left w:w="108" w:type="dxa"/>
          <w:bottom w:w="0" w:type="dxa"/>
          <w:right w:w="108" w:type="dxa"/>
        </w:tblCellMar>
      </w:tblPr>
      <w:tblGrid>
        <w:gridCol w:w="543"/>
        <w:gridCol w:w="3814"/>
        <w:gridCol w:w="1985"/>
        <w:gridCol w:w="1417"/>
      </w:tblGrid>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No</w:t>
            </w:r>
          </w:p>
        </w:tc>
        <w:tc>
          <w:tcPr>
            <w:tcW w:w="3814"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Jenis Pengadaan</w:t>
            </w:r>
          </w:p>
        </w:tc>
        <w:tc>
          <w:tcPr>
            <w:tcW w:w="1985"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Kelompok</w:t>
            </w:r>
          </w:p>
        </w:tc>
        <w:tc>
          <w:tcPr>
            <w:tcW w:w="1417"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w:t>
            </w:r>
          </w:p>
        </w:tc>
        <w:tc>
          <w:tcPr>
            <w:tcW w:w="3814"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Peralatan Masak Memasak</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23 Kelompok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mc:AlternateContent>
                <mc:Choice Requires="wps">
                  <w:drawing>
                    <wp:anchor distT="0" distB="0" distL="114300" distR="114300" simplePos="0" relativeHeight="251689984" behindDoc="0" locked="0" layoutInCell="1" allowOverlap="1">
                      <wp:simplePos x="0" y="0"/>
                      <wp:positionH relativeFrom="column">
                        <wp:posOffset>1419225</wp:posOffset>
                      </wp:positionH>
                      <wp:positionV relativeFrom="paragraph">
                        <wp:posOffset>60960</wp:posOffset>
                      </wp:positionV>
                      <wp:extent cx="635" cy="635"/>
                      <wp:effectExtent l="0" t="0" r="0" b="0"/>
                      <wp:wrapNone/>
                      <wp:docPr id="171104354" name="Ink 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171104354" name="Ink 5"/>
                                  <w14:cNvContentPartPr/>
                                </w14:nvContentPartPr>
                                <w14:xfrm>
                                  <a:off x="7225665" y="3501390"/>
                                  <a:ext cx="635" cy="635"/>
                                </w14:xfrm>
                              </w14:contentPart>
                            </mc:Choice>
                          </mc:AlternateContent>
                        </a:graphicData>
                      </a:graphic>
                    </wp:anchor>
                  </w:drawing>
                </mc:Choice>
                <mc:Fallback>
                  <w:pict>
                    <v:shape id="Ink 5" o:spid="_x0000_s1026" o:spt="75" style="position:absolute;left:0pt;margin-left:111.75pt;margin-top:4.8pt;height:0.05pt;width:0.05pt;z-index:251689984;mso-width-relative:page;mso-height-relative:page;" coordsize="21600,21600" o:gfxdata="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">
                      <v:imagedata r:id="rId31" o:title=""/>
                      <o:lock v:ext="edit"/>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1419225</wp:posOffset>
                      </wp:positionH>
                      <wp:positionV relativeFrom="paragraph">
                        <wp:posOffset>60960</wp:posOffset>
                      </wp:positionV>
                      <wp:extent cx="635" cy="635"/>
                      <wp:effectExtent l="0" t="0" r="0" b="0"/>
                      <wp:wrapNone/>
                      <wp:docPr id="1098458624" name="Ink 4"/>
                      <wp:cNvGraphicFramePr/>
                      <a:graphic xmlns:a="http://schemas.openxmlformats.org/drawingml/2006/main">
                        <a:graphicData uri="http://schemas.microsoft.com/office/word/2010/wordprocessingInk">
                          <mc:AlternateContent xmlns:a14="http://schemas.microsoft.com/office/drawing/2010/main">
                            <mc:Choice Requires="a14">
                              <w14:contentPart bwMode="clr" r:id="rId32">
                                <w14:nvContentPartPr>
                                  <w14:cNvPr id="1098458624" name="Ink 4"/>
                                  <w14:cNvContentPartPr/>
                                </w14:nvContentPartPr>
                                <w14:xfrm>
                                  <a:off x="7225665" y="3501390"/>
                                  <a:ext cx="635" cy="635"/>
                                </w14:xfrm>
                              </w14:contentPart>
                            </mc:Choice>
                          </mc:AlternateContent>
                        </a:graphicData>
                      </a:graphic>
                    </wp:anchor>
                  </w:drawing>
                </mc:Choice>
                <mc:Fallback>
                  <w:pict>
                    <v:shape id="Ink 4" o:spid="_x0000_s1026" o:spt="75" style="position:absolute;left:0pt;margin-left:111.75pt;margin-top:4.8pt;height:0.05pt;width:0.05pt;z-index:251688960;mso-width-relative:page;mso-height-relative:page;" coordsize="21600,21600" o:gfxdata="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">
                      <v:imagedata r:id="rId31" o:title=""/>
                      <o:lock v:ext="edi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1419225</wp:posOffset>
                      </wp:positionH>
                      <wp:positionV relativeFrom="paragraph">
                        <wp:posOffset>60960</wp:posOffset>
                      </wp:positionV>
                      <wp:extent cx="635" cy="635"/>
                      <wp:effectExtent l="0" t="0" r="0" b="0"/>
                      <wp:wrapNone/>
                      <wp:docPr id="1197024507" name="Ink 2"/>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1197024507" name="Ink 2"/>
                                  <w14:cNvContentPartPr/>
                                </w14:nvContentPartPr>
                                <w14:xfrm>
                                  <a:off x="7225665" y="3501390"/>
                                  <a:ext cx="635" cy="635"/>
                                </w14:xfrm>
                              </w14:contentPart>
                            </mc:Choice>
                          </mc:AlternateContent>
                        </a:graphicData>
                      </a:graphic>
                    </wp:anchor>
                  </w:drawing>
                </mc:Choice>
                <mc:Fallback>
                  <w:pict>
                    <v:shape id="Ink 2" o:spid="_x0000_s1026" o:spt="75" style="position:absolute;left:0pt;margin-left:111.75pt;margin-top:4.8pt;height:0.05pt;width:0.05pt;z-index:251687936;mso-width-relative:page;mso-height-relative:page;" coordsize="21600,21600" o:gfxdata="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">
                      <v:imagedata r:id="rId31" o:title=""/>
                      <o:lock v:ext="edit"/>
                    </v:shape>
                  </w:pict>
                </mc:Fallback>
              </mc:AlternateContent>
            </w:r>
            <w:r>
              <w:rPr>
                <w:rFonts w:ascii="Bookman Old Style" w:hAnsi="Bookman Old Style" w:eastAsia="Times New Roman" w:cs="Tahoma"/>
                <w:color w:val="000000" w:themeColor="text1"/>
                <w:sz w:val="24"/>
                <w:szCs w:val="24"/>
                <w14:textFill>
                  <w14:solidFill>
                    <w14:schemeClr w14:val="tx1"/>
                  </w14:solidFill>
                </w14:textFill>
              </w:rPr>
              <w:t>427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w:t>
            </w:r>
          </w:p>
        </w:tc>
        <w:tc>
          <w:tcPr>
            <w:tcW w:w="3814"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Spinner</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22 Kelompok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73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w:t>
            </w:r>
          </w:p>
        </w:tc>
        <w:tc>
          <w:tcPr>
            <w:tcW w:w="3814" w:type="dxa"/>
            <w:tcBorders>
              <w:top w:val="single" w:color="000000" w:sz="8" w:space="0"/>
              <w:left w:val="single" w:color="000000" w:sz="8" w:space="0"/>
              <w:bottom w:val="single" w:color="000000" w:sz="8" w:space="0"/>
              <w:right w:val="single" w:color="000000" w:sz="8" w:space="0"/>
            </w:tcBorders>
          </w:tcPr>
          <w:p>
            <w:pPr>
              <w:spacing w:after="0" w:line="240" w:lineRule="auto"/>
              <w:ind w:right="-75"/>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Penggiling Daging</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15 Kelompok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30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4</w:t>
            </w:r>
          </w:p>
        </w:tc>
        <w:tc>
          <w:tcPr>
            <w:tcW w:w="3814"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Pembuat Roti</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22 Kelompok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20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w:t>
            </w:r>
          </w:p>
        </w:tc>
        <w:tc>
          <w:tcPr>
            <w:tcW w:w="3814"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Kacip</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21 Kelompok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96 Unit</w:t>
            </w:r>
          </w:p>
        </w:tc>
      </w:tr>
      <w:tr>
        <w:tblPrEx>
          <w:tblCellMar>
            <w:top w:w="0" w:type="dxa"/>
            <w:left w:w="108" w:type="dxa"/>
            <w:bottom w:w="0" w:type="dxa"/>
            <w:right w:w="108" w:type="dxa"/>
          </w:tblCellMar>
        </w:tblPrEx>
        <w:tc>
          <w:tcPr>
            <w:tcW w:w="4357" w:type="dxa"/>
            <w:gridSpan w:val="2"/>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w:t>
            </w:r>
          </w:p>
        </w:tc>
        <w:tc>
          <w:tcPr>
            <w:tcW w:w="1985"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103 Kelopok</w:t>
            </w:r>
          </w:p>
        </w:tc>
        <w:tc>
          <w:tcPr>
            <w:tcW w:w="1417"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217 Unit</w:t>
            </w:r>
          </w:p>
        </w:tc>
      </w:tr>
    </w:tbl>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10"/>
          <w:szCs w:val="10"/>
          <w:lang w:val="zh-CN"/>
          <w14:textFill>
            <w14:solidFill>
              <w14:schemeClr w14:val="tx1"/>
            </w14:solidFill>
          </w14:textFill>
        </w:rPr>
      </w:pPr>
    </w:p>
    <w:p>
      <w:pPr>
        <w:spacing w:after="0" w:line="240" w:lineRule="auto"/>
        <w:contextualSpacing/>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              Tabel 2.3.8</w:t>
      </w:r>
    </w:p>
    <w:p>
      <w:pPr>
        <w:spacing w:after="0" w:line="240" w:lineRule="auto"/>
        <w:ind w:left="1418"/>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2018</w:t>
      </w:r>
    </w:p>
    <w:tbl>
      <w:tblPr>
        <w:tblStyle w:val="4"/>
        <w:tblW w:w="7654" w:type="dxa"/>
        <w:tblInd w:w="1101" w:type="dxa"/>
        <w:tblLayout w:type="autofit"/>
        <w:tblCellMar>
          <w:top w:w="0" w:type="dxa"/>
          <w:left w:w="108" w:type="dxa"/>
          <w:bottom w:w="0" w:type="dxa"/>
          <w:right w:w="108" w:type="dxa"/>
        </w:tblCellMar>
      </w:tblPr>
      <w:tblGrid>
        <w:gridCol w:w="543"/>
        <w:gridCol w:w="3709"/>
        <w:gridCol w:w="1985"/>
        <w:gridCol w:w="1417"/>
      </w:tblGrid>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shd w:val="clear" w:color="auto" w:fill="C3BD96"/>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No</w:t>
            </w:r>
          </w:p>
        </w:tc>
        <w:tc>
          <w:tcPr>
            <w:tcW w:w="3709" w:type="dxa"/>
            <w:tcBorders>
              <w:top w:val="single" w:color="000000" w:sz="8" w:space="0"/>
              <w:left w:val="single" w:color="000000" w:sz="8" w:space="0"/>
              <w:bottom w:val="single" w:color="000000" w:sz="8" w:space="0"/>
              <w:right w:val="single" w:color="000000" w:sz="8" w:space="0"/>
            </w:tcBorders>
            <w:shd w:val="clear" w:color="auto" w:fill="C3BD96"/>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Jenis Pengadaan</w:t>
            </w:r>
          </w:p>
        </w:tc>
        <w:tc>
          <w:tcPr>
            <w:tcW w:w="1985" w:type="dxa"/>
            <w:tcBorders>
              <w:top w:val="single" w:color="000000" w:sz="8" w:space="0"/>
              <w:left w:val="single" w:color="000000" w:sz="8" w:space="0"/>
              <w:bottom w:val="single" w:color="000000" w:sz="8" w:space="0"/>
              <w:right w:val="single" w:color="000000" w:sz="8" w:space="0"/>
            </w:tcBorders>
            <w:shd w:val="clear" w:color="auto" w:fill="C3BD96"/>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Kelompok</w:t>
            </w:r>
          </w:p>
        </w:tc>
        <w:tc>
          <w:tcPr>
            <w:tcW w:w="1417" w:type="dxa"/>
            <w:tcBorders>
              <w:top w:val="single" w:color="000000" w:sz="8" w:space="0"/>
              <w:left w:val="single" w:color="000000" w:sz="8" w:space="0"/>
              <w:bottom w:val="single" w:color="000000" w:sz="8" w:space="0"/>
              <w:right w:val="single" w:color="000000" w:sz="8" w:space="0"/>
            </w:tcBorders>
            <w:shd w:val="clear" w:color="auto" w:fill="C3BD96"/>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Parut Kelapa</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22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67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Pengelolaan Ikan</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20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60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Pertukangan</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22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22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4</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Jahit Dan Obras</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37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40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Oven Kue</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20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20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Vacum Pres</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32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94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7</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Pemecah Kulit Kemiri</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11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11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8</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Pengering</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12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12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9</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Press Emping</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16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16 Unit</w:t>
            </w:r>
          </w:p>
        </w:tc>
      </w:tr>
      <w:tr>
        <w:tblPrEx>
          <w:tblCellMar>
            <w:top w:w="0" w:type="dxa"/>
            <w:left w:w="108" w:type="dxa"/>
            <w:bottom w:w="0" w:type="dxa"/>
            <w:right w:w="108" w:type="dxa"/>
          </w:tblCellMar>
        </w:tblPrEx>
        <w:tc>
          <w:tcPr>
            <w:tcW w:w="543"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10</w:t>
            </w:r>
          </w:p>
        </w:tc>
        <w:tc>
          <w:tcPr>
            <w:tcW w:w="3709"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Kerajinan</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17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272 Unit</w:t>
            </w:r>
          </w:p>
        </w:tc>
      </w:tr>
      <w:tr>
        <w:tblPrEx>
          <w:tblCellMar>
            <w:top w:w="0" w:type="dxa"/>
            <w:left w:w="108" w:type="dxa"/>
            <w:bottom w:w="0" w:type="dxa"/>
            <w:right w:w="108" w:type="dxa"/>
          </w:tblCellMar>
        </w:tblPrEx>
        <w:tc>
          <w:tcPr>
            <w:tcW w:w="4252" w:type="dxa"/>
            <w:gridSpan w:val="2"/>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w:t>
            </w:r>
          </w:p>
        </w:tc>
        <w:tc>
          <w:tcPr>
            <w:tcW w:w="1985"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209 Kelompok</w:t>
            </w:r>
          </w:p>
        </w:tc>
        <w:tc>
          <w:tcPr>
            <w:tcW w:w="1417"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614 Unit</w:t>
            </w:r>
          </w:p>
        </w:tc>
      </w:tr>
    </w:tbl>
    <w:p>
      <w:pPr>
        <w:tabs>
          <w:tab w:val="left" w:pos="3897"/>
        </w:tabs>
        <w:spacing w:after="0" w:line="240" w:lineRule="auto"/>
        <w:contextualSpacing/>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ab/>
      </w: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tabs>
          <w:tab w:val="left" w:pos="3897"/>
        </w:tabs>
        <w:spacing w:after="0" w:line="240" w:lineRule="auto"/>
        <w:contextualSpacing/>
        <w:rPr>
          <w:rFonts w:ascii="Bookman Old Style" w:hAnsi="Bookman Old Style" w:eastAsia="Times New Roman" w:cs="Tahoma"/>
          <w:color w:val="000000" w:themeColor="text1"/>
          <w:sz w:val="10"/>
          <w:szCs w:val="10"/>
          <w14:textFill>
            <w14:solidFill>
              <w14:schemeClr w14:val="tx1"/>
            </w14:solidFill>
          </w14:textFill>
        </w:rPr>
      </w:pPr>
    </w:p>
    <w:p>
      <w:pPr>
        <w:spacing w:after="0" w:line="240" w:lineRule="auto"/>
        <w:ind w:left="993"/>
        <w:contextualSpacing/>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Tabel 2.3.9</w:t>
      </w:r>
    </w:p>
    <w:p>
      <w:pPr>
        <w:spacing w:after="0" w:line="240" w:lineRule="auto"/>
        <w:ind w:left="1418"/>
        <w:jc w:val="center"/>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Daftar Bantuan Peralatan Tahun 2019</w:t>
      </w:r>
    </w:p>
    <w:tbl>
      <w:tblPr>
        <w:tblStyle w:val="4"/>
        <w:tblW w:w="7654" w:type="dxa"/>
        <w:tblInd w:w="1101" w:type="dxa"/>
        <w:tblLayout w:type="autofit"/>
        <w:tblCellMar>
          <w:top w:w="0" w:type="dxa"/>
          <w:left w:w="108" w:type="dxa"/>
          <w:bottom w:w="0" w:type="dxa"/>
          <w:right w:w="108" w:type="dxa"/>
        </w:tblCellMar>
      </w:tblPr>
      <w:tblGrid>
        <w:gridCol w:w="544"/>
        <w:gridCol w:w="3733"/>
        <w:gridCol w:w="1969"/>
        <w:gridCol w:w="1408"/>
      </w:tblGrid>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No</w:t>
            </w:r>
          </w:p>
        </w:tc>
        <w:tc>
          <w:tcPr>
            <w:tcW w:w="3733"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Jenis Pengadaan</w:t>
            </w:r>
          </w:p>
        </w:tc>
        <w:tc>
          <w:tcPr>
            <w:tcW w:w="1969"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Kelompok</w:t>
            </w:r>
          </w:p>
        </w:tc>
        <w:tc>
          <w:tcPr>
            <w:tcW w:w="1408" w:type="dxa"/>
            <w:tcBorders>
              <w:top w:val="single" w:color="000000" w:sz="8" w:space="0"/>
              <w:left w:val="single" w:color="000000" w:sz="8" w:space="0"/>
              <w:bottom w:val="single" w:color="000000" w:sz="8" w:space="0"/>
              <w:right w:val="single" w:color="000000" w:sz="8" w:space="0"/>
            </w:tcBorders>
            <w:shd w:val="clear" w:color="auto" w:fill="C3BD96"/>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Perajang Keripik</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15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105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Jahit Dan Obras</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12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60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3</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Pencetak Batu Merah</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4</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Pertukangan</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17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119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Alat Masak Memasak</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25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550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Pengupas Sabut Kelapa</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7</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Parut Kelapa Dan Penepung Beras</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11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55 Unit</w:t>
            </w:r>
          </w:p>
        </w:tc>
      </w:tr>
      <w:tr>
        <w:tblPrEx>
          <w:tblCellMar>
            <w:top w:w="0" w:type="dxa"/>
            <w:left w:w="108" w:type="dxa"/>
            <w:bottom w:w="0" w:type="dxa"/>
            <w:right w:w="108" w:type="dxa"/>
          </w:tblCellMar>
        </w:tblPrEx>
        <w:tc>
          <w:tcPr>
            <w:tcW w:w="544"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8</w:t>
            </w:r>
          </w:p>
        </w:tc>
        <w:tc>
          <w:tcPr>
            <w:tcW w:w="3733" w:type="dxa"/>
            <w:tcBorders>
              <w:top w:val="single" w:color="000000" w:sz="8" w:space="0"/>
              <w:left w:val="single" w:color="000000" w:sz="8" w:space="0"/>
              <w:bottom w:val="single" w:color="000000" w:sz="8" w:space="0"/>
              <w:right w:val="single" w:color="000000" w:sz="8" w:space="0"/>
            </w:tcBorders>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Pengadaan Mesin Pencacah Sampah Dan Mesin Press Sampah</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 Unit</w:t>
            </w:r>
          </w:p>
        </w:tc>
      </w:tr>
      <w:tr>
        <w:tblPrEx>
          <w:tblCellMar>
            <w:top w:w="0" w:type="dxa"/>
            <w:left w:w="108" w:type="dxa"/>
            <w:bottom w:w="0" w:type="dxa"/>
            <w:right w:w="108" w:type="dxa"/>
          </w:tblCellMar>
        </w:tblPrEx>
        <w:tc>
          <w:tcPr>
            <w:tcW w:w="4277" w:type="dxa"/>
            <w:gridSpan w:val="2"/>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Jumlah</w:t>
            </w:r>
          </w:p>
        </w:tc>
        <w:tc>
          <w:tcPr>
            <w:tcW w:w="1969"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91 Kelompok</w:t>
            </w:r>
          </w:p>
        </w:tc>
        <w:tc>
          <w:tcPr>
            <w:tcW w:w="1408" w:type="dxa"/>
            <w:tcBorders>
              <w:top w:val="single" w:color="000000" w:sz="8" w:space="0"/>
              <w:left w:val="single" w:color="000000" w:sz="8" w:space="0"/>
              <w:bottom w:val="single" w:color="000000" w:sz="8" w:space="0"/>
              <w:right w:val="single" w:color="000000" w:sz="8" w:space="0"/>
            </w:tcBorders>
          </w:tcPr>
          <w:p>
            <w:pPr>
              <w:spacing w:after="0" w:line="24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901 Unit</w:t>
            </w:r>
          </w:p>
        </w:tc>
      </w:tr>
    </w:tbl>
    <w:p>
      <w:pPr>
        <w:tabs>
          <w:tab w:val="left" w:pos="567"/>
        </w:tabs>
        <w:autoSpaceDE w:val="0"/>
        <w:autoSpaceDN w:val="0"/>
        <w:adjustRightInd w:val="0"/>
        <w:spacing w:after="0" w:line="360" w:lineRule="auto"/>
        <w:ind w:left="426"/>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tabs>
          <w:tab w:val="left" w:pos="1701"/>
        </w:tabs>
        <w:spacing w:after="0" w:line="360" w:lineRule="auto"/>
        <w:ind w:left="426"/>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kendala yang dihadapi </w:t>
      </w:r>
      <w:r>
        <w:rPr>
          <w:rFonts w:ascii="Bookman Old Style" w:hAnsi="Bookman Old Style" w:eastAsia="Times New Roman" w:cs="Tahoma"/>
          <w:color w:val="000000" w:themeColor="text1"/>
          <w:sz w:val="24"/>
          <w:szCs w:val="24"/>
          <w:lang w:val="id-ID"/>
          <w14:textFill>
            <w14:solidFill>
              <w14:schemeClr w14:val="tx1"/>
            </w14:solidFill>
          </w14:textFill>
        </w:rPr>
        <w:t>sebagai berikut :</w:t>
      </w:r>
    </w:p>
    <w:p>
      <w:pPr>
        <w:numPr>
          <w:ilvl w:val="0"/>
          <w:numId w:val="30"/>
        </w:numPr>
        <w:spacing w:after="0" w:line="360" w:lineRule="auto"/>
        <w:ind w:left="70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Masih banyak pelaku ukm yg tidak dapat bantuan.   </w:t>
      </w:r>
    </w:p>
    <w:p>
      <w:pPr>
        <w:numPr>
          <w:ilvl w:val="0"/>
          <w:numId w:val="30"/>
        </w:numPr>
        <w:spacing w:after="0" w:line="360" w:lineRule="auto"/>
        <w:ind w:left="70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Pendataan pelaku ukm yg berada di pulau sulit terdata. </w:t>
      </w:r>
    </w:p>
    <w:p>
      <w:pPr>
        <w:numPr>
          <w:ilvl w:val="0"/>
          <w:numId w:val="30"/>
        </w:numPr>
        <w:spacing w:after="0" w:line="360" w:lineRule="auto"/>
        <w:ind w:left="70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Biaya operasional pencairan tidak ada sementara banyak orang                     di kepulauan</w:t>
      </w:r>
    </w:p>
    <w:p>
      <w:pPr>
        <w:numPr>
          <w:ilvl w:val="0"/>
          <w:numId w:val="30"/>
        </w:numPr>
        <w:spacing w:after="0" w:line="360" w:lineRule="auto"/>
        <w:ind w:left="70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Kepala desa dan lurah kurang merespon untuk memfasilitasi warganya</w:t>
      </w:r>
    </w:p>
    <w:p>
      <w:pPr>
        <w:numPr>
          <w:ilvl w:val="0"/>
          <w:numId w:val="30"/>
        </w:numPr>
        <w:spacing w:after="0" w:line="360" w:lineRule="auto"/>
        <w:ind w:left="70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Masih banyak yag tidak memiliki identitas ( ktp )</w:t>
      </w:r>
    </w:p>
    <w:p>
      <w:pPr>
        <w:tabs>
          <w:tab w:val="left" w:pos="1701"/>
        </w:tabs>
        <w:spacing w:after="0" w:line="360" w:lineRule="auto"/>
        <w:ind w:left="426" w:hanging="426"/>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Langkah yang ditempuh dalam menghadapi masalah tersebut                                Dinas Perdagangan, Koperasi dan Usaha Kecil dan Menengah Bidang Pembinaan UKM terus melakukan program pembinaan dan pengembangan UKM. Berbagai program secara berkesinambungan terus dijalankan. Yaitu penumbuhan wirausaha baru, pengembangan produk UKM, peningkatan kemampuan sentra dan serta pemberian bantuan mesin dan peralatan produksi.</w:t>
      </w:r>
    </w:p>
    <w:p>
      <w:pPr>
        <w:tabs>
          <w:tab w:val="left" w:pos="1418"/>
        </w:tabs>
        <w:spacing w:after="0" w:line="360" w:lineRule="auto"/>
        <w:ind w:left="426" w:hanging="426"/>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UKM di Kabupaten Kepulauan Selayar selayaknya mendapat perhatian besar dari Pemerintah, khususnya dari Dinas Perdagangan Koperasi dan Usaha Kecil dan Menengah. Sebab di sini terdapat ribuan unit usaha dengan total penyerapan tenaga kerja sebanyak 550 orang. UKM secara signifikan telah banyak memberikan konstribusi kepada Daerah Kabupaten Kepulauan Selayar dalam mewujudkan kemandirian ekonomi.</w:t>
      </w:r>
    </w:p>
    <w:p>
      <w:pPr>
        <w:tabs>
          <w:tab w:val="left" w:pos="1418"/>
        </w:tabs>
        <w:spacing w:after="0" w:line="360" w:lineRule="auto"/>
        <w:ind w:left="426" w:hanging="426"/>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ab/>
      </w:r>
      <w:r>
        <w:rPr>
          <w:rFonts w:ascii="Bookman Old Style" w:hAnsi="Bookman Old Style" w:eastAsia="Times New Roman" w:cs="Tahoma"/>
          <w:color w:val="000000" w:themeColor="text1"/>
          <w:sz w:val="24"/>
          <w:szCs w:val="24"/>
          <w:lang w:val="id-ID"/>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p>
    <w:p>
      <w:pPr>
        <w:numPr>
          <w:ilvl w:val="0"/>
          <w:numId w:val="26"/>
        </w:numPr>
        <w:tabs>
          <w:tab w:val="left" w:pos="284"/>
          <w:tab w:val="left" w:pos="426"/>
          <w:tab w:val="clear" w:pos="720"/>
        </w:tabs>
        <w:autoSpaceDE w:val="0"/>
        <w:autoSpaceDN w:val="0"/>
        <w:adjustRightInd w:val="0"/>
        <w:spacing w:after="0" w:line="360" w:lineRule="auto"/>
        <w:ind w:left="851" w:hanging="709"/>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Ekspor Bersih Perdagangan</w:t>
      </w:r>
    </w:p>
    <w:p>
      <w:pPr>
        <w:tabs>
          <w:tab w:val="left" w:pos="284"/>
          <w:tab w:val="left" w:pos="426"/>
          <w:tab w:val="left" w:pos="1418"/>
        </w:tabs>
        <w:autoSpaceDE w:val="0"/>
        <w:autoSpaceDN w:val="0"/>
        <w:adjustRightInd w:val="0"/>
        <w:spacing w:after="0" w:line="360" w:lineRule="auto"/>
        <w:ind w:left="284"/>
        <w:contextualSpacing/>
        <w:jc w:val="both"/>
        <w:rPr>
          <w:rFonts w:ascii="Bookman Old Style" w:hAnsi="Bookman Old Style" w:eastAsia="Times New Roman" w:cs="Tahoma"/>
          <w:bCs/>
          <w:color w:val="000000" w:themeColor="text1"/>
          <w:sz w:val="24"/>
          <w:szCs w:val="20"/>
          <w14:textFill>
            <w14:solidFill>
              <w14:schemeClr w14:val="tx1"/>
            </w14:solidFill>
          </w14:textFill>
        </w:rPr>
      </w:pPr>
      <w:r>
        <w:rPr>
          <w:rFonts w:ascii="Bookman Old Style" w:hAnsi="Bookman Old Style" w:eastAsia="Times New Roman" w:cs="Tahoma"/>
          <w:bCs/>
          <w:color w:val="000000" w:themeColor="text1"/>
          <w:sz w:val="24"/>
          <w:szCs w:val="20"/>
          <w14:textFill>
            <w14:solidFill>
              <w14:schemeClr w14:val="tx1"/>
            </w14:solidFill>
          </w14:textFill>
        </w:rPr>
        <w:tab/>
      </w:r>
      <w:r>
        <w:rPr>
          <w:rFonts w:ascii="Bookman Old Style" w:hAnsi="Bookman Old Style" w:eastAsia="Times New Roman" w:cs="Tahoma"/>
          <w:bCs/>
          <w:color w:val="000000" w:themeColor="text1"/>
          <w:sz w:val="24"/>
          <w:szCs w:val="20"/>
          <w14:textFill>
            <w14:solidFill>
              <w14:schemeClr w14:val="tx1"/>
            </w14:solidFill>
          </w14:textFill>
        </w:rPr>
        <w:tab/>
      </w:r>
      <w:r>
        <w:rPr>
          <w:rFonts w:ascii="Bookman Old Style" w:hAnsi="Bookman Old Style" w:eastAsia="Times New Roman" w:cs="Tahoma"/>
          <w:bCs/>
          <w:color w:val="000000" w:themeColor="text1"/>
          <w:sz w:val="24"/>
          <w:szCs w:val="20"/>
          <w14:textFill>
            <w14:solidFill>
              <w14:schemeClr w14:val="tx1"/>
            </w14:solidFill>
          </w14:textFill>
        </w:rPr>
        <w:tab/>
      </w:r>
      <w:r>
        <w:rPr>
          <w:rFonts w:ascii="Bookman Old Style" w:hAnsi="Bookman Old Style" w:eastAsia="Times New Roman" w:cs="Tahoma"/>
          <w:bCs/>
          <w:color w:val="000000" w:themeColor="text1"/>
          <w:sz w:val="24"/>
          <w:szCs w:val="20"/>
          <w14:textFill>
            <w14:solidFill>
              <w14:schemeClr w14:val="tx1"/>
            </w14:solidFill>
          </w14:textFill>
        </w:rPr>
        <w:t xml:space="preserve">Dinas Perdagangan, Koperasi dan usaha Kecil dan Menengah Kabupaten Kepulauan Selayar belum dapat melaksanakan kegiatan ekspor mengingat Kabupaten Kepulauan Selayar belum dapat </w:t>
      </w:r>
      <w:r>
        <w:rPr>
          <w:rFonts w:ascii="Bookman Old Style" w:hAnsi="Bookman Old Style" w:eastAsia="Times New Roman" w:cs="Tahoma"/>
          <w:bCs/>
          <w:color w:val="000000" w:themeColor="text1"/>
          <w:sz w:val="24"/>
          <w:szCs w:val="24"/>
          <w14:textFill>
            <w14:solidFill>
              <w14:schemeClr w14:val="tx1"/>
            </w14:solidFill>
          </w14:textFill>
        </w:rPr>
        <w:t xml:space="preserve">menertbitkan </w:t>
      </w:r>
      <w:r>
        <w:rPr>
          <w:rFonts w:ascii="Bookman Old Style" w:hAnsi="Bookman Old Style" w:eastAsia="Times New Roman" w:cs="Arial"/>
          <w:bCs/>
          <w:sz w:val="24"/>
          <w:szCs w:val="24"/>
          <w:shd w:val="clear" w:color="auto" w:fill="FFFFFF"/>
        </w:rPr>
        <w:t>sertifikat</w:t>
      </w:r>
      <w:r>
        <w:rPr>
          <w:rFonts w:ascii="Bookman Old Style" w:hAnsi="Bookman Old Style" w:eastAsia="Times New Roman" w:cs="Arial"/>
          <w:sz w:val="24"/>
          <w:szCs w:val="24"/>
          <w:shd w:val="clear" w:color="auto" w:fill="FFFFFF"/>
        </w:rPr>
        <w:t xml:space="preserve"> fumigasi – pembuatan Certificate of Origin (COO)/ SKA </w:t>
      </w:r>
      <w:r>
        <w:rPr>
          <w:rFonts w:ascii="Bookman Old Style" w:hAnsi="Bookman Old Style" w:eastAsia="Times New Roman" w:cs="Arial"/>
          <w:bCs/>
          <w:sz w:val="24"/>
          <w:szCs w:val="24"/>
          <w:shd w:val="clear" w:color="auto" w:fill="FFFFFF"/>
        </w:rPr>
        <w:t>ekspor</w:t>
      </w:r>
      <w:r>
        <w:rPr>
          <w:rFonts w:ascii="Bookman Old Style" w:hAnsi="Bookman Old Style" w:eastAsia="Times New Roman" w:cs="Arial"/>
          <w:sz w:val="24"/>
          <w:szCs w:val="24"/>
          <w:shd w:val="clear" w:color="auto" w:fill="FFFFFF"/>
        </w:rPr>
        <w:t>, mulai dari </w:t>
      </w:r>
      <w:r>
        <w:rPr>
          <w:rFonts w:ascii="Bookman Old Style" w:hAnsi="Bookman Old Style" w:eastAsia="Times New Roman" w:cs="Arial"/>
          <w:bCs/>
          <w:sz w:val="24"/>
          <w:szCs w:val="24"/>
          <w:shd w:val="clear" w:color="auto" w:fill="FFFFFF"/>
        </w:rPr>
        <w:t>penerbitan</w:t>
      </w:r>
      <w:r>
        <w:rPr>
          <w:rFonts w:ascii="Bookman Old Style" w:hAnsi="Bookman Old Style" w:eastAsia="Times New Roman" w:cs="Arial"/>
          <w:sz w:val="24"/>
          <w:szCs w:val="24"/>
          <w:shd w:val="clear" w:color="auto" w:fill="FFFFFF"/>
        </w:rPr>
        <w:t> SIUP (Surat Ijin Usaha Perdagangan)</w:t>
      </w:r>
      <w:r>
        <w:rPr>
          <w:rFonts w:ascii="Bookman Old Style" w:hAnsi="Bookman Old Style" w:eastAsia="Times New Roman" w:cs="Tahoma"/>
          <w:bCs/>
          <w:sz w:val="24"/>
          <w:szCs w:val="20"/>
        </w:rPr>
        <w:t xml:space="preserve"> sampain NPWP pemilik perusahaan</w:t>
      </w:r>
      <w:r>
        <w:rPr>
          <w:rFonts w:ascii="Bookman Old Style" w:hAnsi="Bookman Old Style" w:eastAsia="Times New Roman" w:cs="Tahoma"/>
          <w:bCs/>
          <w:color w:val="000000" w:themeColor="text1"/>
          <w:sz w:val="24"/>
          <w:szCs w:val="20"/>
          <w14:textFill>
            <w14:solidFill>
              <w14:schemeClr w14:val="tx1"/>
            </w14:solidFill>
          </w14:textFill>
        </w:rPr>
        <w:t xml:space="preserve">. </w:t>
      </w:r>
    </w:p>
    <w:p>
      <w:pPr>
        <w:tabs>
          <w:tab w:val="left" w:pos="284"/>
          <w:tab w:val="left" w:pos="426"/>
          <w:tab w:val="left" w:pos="1418"/>
        </w:tabs>
        <w:autoSpaceDE w:val="0"/>
        <w:autoSpaceDN w:val="0"/>
        <w:adjustRightInd w:val="0"/>
        <w:spacing w:after="0" w:line="360" w:lineRule="auto"/>
        <w:ind w:left="284"/>
        <w:contextualSpacing/>
        <w:jc w:val="both"/>
        <w:rPr>
          <w:rFonts w:ascii="Bookman Old Style" w:hAnsi="Bookman Old Style" w:eastAsia="Times New Roman" w:cs="Tahoma"/>
          <w:bCs/>
          <w:sz w:val="24"/>
          <w:szCs w:val="20"/>
        </w:rPr>
      </w:pPr>
      <w:r>
        <w:rPr>
          <w:rFonts w:ascii="Bookman Old Style" w:hAnsi="Bookman Old Style" w:eastAsia="Times New Roman" w:cs="Tahoma"/>
          <w:bCs/>
          <w:color w:val="000000" w:themeColor="text1"/>
          <w:sz w:val="24"/>
          <w:szCs w:val="20"/>
          <w14:textFill>
            <w14:solidFill>
              <w14:schemeClr w14:val="tx1"/>
            </w14:solidFill>
          </w14:textFill>
        </w:rPr>
        <w:tab/>
      </w:r>
      <w:r>
        <w:rPr>
          <w:rFonts w:ascii="Bookman Old Style" w:hAnsi="Bookman Old Style" w:eastAsia="Times New Roman" w:cs="Tahoma"/>
          <w:bCs/>
          <w:color w:val="000000" w:themeColor="text1"/>
          <w:sz w:val="24"/>
          <w:szCs w:val="20"/>
          <w14:textFill>
            <w14:solidFill>
              <w14:schemeClr w14:val="tx1"/>
            </w14:solidFill>
          </w14:textFill>
        </w:rPr>
        <w:tab/>
      </w:r>
      <w:r>
        <w:rPr>
          <w:rFonts w:ascii="Bookman Old Style" w:hAnsi="Bookman Old Style" w:eastAsia="Times New Roman" w:cs="Tahoma"/>
          <w:bCs/>
          <w:color w:val="000000" w:themeColor="text1"/>
          <w:sz w:val="24"/>
          <w:szCs w:val="20"/>
          <w14:textFill>
            <w14:solidFill>
              <w14:schemeClr w14:val="tx1"/>
            </w14:solidFill>
          </w14:textFill>
        </w:rPr>
        <w:t>Sehubungan dengan itu, Dinas Perdagangan, Koperasi dan usaha Kecil dan Menengah Kabupaten Kepulauan Selayar</w:t>
      </w:r>
      <w:r>
        <w:rPr>
          <w:rFonts w:ascii="Bookman Old Style" w:hAnsi="Bookman Old Style" w:eastAsia="Times New Roman" w:cs="Tahoma"/>
          <w:bCs/>
          <w:sz w:val="24"/>
          <w:szCs w:val="20"/>
        </w:rPr>
        <w:t xml:space="preserve"> dalam sektor usaha perdagangan mengambil Arah kebijakan perdagangan dalam negeri adalah dengan Peningkatan Penataan Sistem Distribusi Nasional yang menjamin kelancaran arus barang dan jasa, kepastian usaha, dan daya saing produk domestic, oleh karena itu perlu strategi antara lain meningkatkan integrasi antar dan intra wilayah melalui pengembangan jaringan distribusi perdagangan, untuk mendorong kelancaran arus barang sehingga ketersediaan barang dan kestabilan harga dapat terjaga dan meningkatkan iklim usaha perdagangan, melalui persaingan sehat dan pengamanan perdagangan untuk mendorong pengembangan usaha kecil dan menengah, peningkatan usaha ritel tradisional dan modern, bisnis waralaba, termasuk pengembangan pola kerjasama yang saling menguntungkan antar pelaku usaha.</w:t>
      </w:r>
    </w:p>
    <w:p>
      <w:pPr>
        <w:tabs>
          <w:tab w:val="left" w:pos="851"/>
          <w:tab w:val="left" w:pos="1418"/>
        </w:tabs>
        <w:autoSpaceDE w:val="0"/>
        <w:autoSpaceDN w:val="0"/>
        <w:adjustRightInd w:val="0"/>
        <w:spacing w:after="0" w:line="360" w:lineRule="auto"/>
        <w:ind w:left="426"/>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 xml:space="preserve">Adapun focus dan kegiatan prioritas bidang perdagangan 5 (lima) tahun kedepan adalah : </w:t>
      </w:r>
    </w:p>
    <w:p>
      <w:pPr>
        <w:tabs>
          <w:tab w:val="left" w:pos="851"/>
          <w:tab w:val="left" w:pos="1418"/>
        </w:tabs>
        <w:autoSpaceDE w:val="0"/>
        <w:autoSpaceDN w:val="0"/>
        <w:adjustRightInd w:val="0"/>
        <w:spacing w:after="0" w:line="360" w:lineRule="auto"/>
        <w:ind w:left="851" w:hanging="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1.</w:t>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Peningkatan Jaringan Distribusi Logistik adalah dengan meningkatkan jaringan distribusi nasional untuk menjadikan Kepulauan Selayar sebagai Pusat Distribusi Logistik kawasan Timur Indonesia;</w:t>
      </w:r>
    </w:p>
    <w:p>
      <w:pPr>
        <w:tabs>
          <w:tab w:val="left" w:pos="851"/>
          <w:tab w:val="left" w:pos="1418"/>
        </w:tabs>
        <w:autoSpaceDE w:val="0"/>
        <w:autoSpaceDN w:val="0"/>
        <w:adjustRightInd w:val="0"/>
        <w:spacing w:after="0" w:line="360" w:lineRule="auto"/>
        <w:ind w:left="851" w:hanging="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2.</w:t>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Pengembangan Kawasan distribusi logistik, untuk ketersediaan sarana dan prasarana penunjang kegiatan,</w:t>
      </w:r>
    </w:p>
    <w:p>
      <w:pPr>
        <w:tabs>
          <w:tab w:val="left" w:pos="851"/>
          <w:tab w:val="left" w:pos="1418"/>
        </w:tabs>
        <w:autoSpaceDE w:val="0"/>
        <w:autoSpaceDN w:val="0"/>
        <w:adjustRightInd w:val="0"/>
        <w:spacing w:after="0" w:line="360" w:lineRule="auto"/>
        <w:ind w:left="851" w:hanging="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3.</w:t>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Peningkatan efektivitas pengawasan dan iklim usaha perdagangan.</w:t>
      </w:r>
    </w:p>
    <w:p>
      <w:pPr>
        <w:tabs>
          <w:tab w:val="left" w:pos="426"/>
          <w:tab w:val="left" w:pos="851"/>
        </w:tabs>
        <w:autoSpaceDE w:val="0"/>
        <w:autoSpaceDN w:val="0"/>
        <w:adjustRightInd w:val="0"/>
        <w:spacing w:after="0" w:line="360" w:lineRule="auto"/>
        <w:ind w:left="426"/>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Prestasi dan kinerja Dinas Perdagangan, Koperasi dan Usaha Kecil dan Menengah disektor perdagangan antara lain :</w:t>
      </w:r>
    </w:p>
    <w:p>
      <w:pPr>
        <w:tabs>
          <w:tab w:val="left" w:pos="851"/>
          <w:tab w:val="left" w:pos="1560"/>
        </w:tabs>
        <w:spacing w:after="0" w:line="360" w:lineRule="auto"/>
        <w:ind w:left="851" w:hanging="425"/>
        <w:jc w:val="both"/>
        <w:rPr>
          <w:rFonts w:ascii="Bookman Old Style" w:hAnsi="Bookman Old Style" w:eastAsia="Times New Roman" w:cs="Times New Roman"/>
          <w:sz w:val="24"/>
          <w:szCs w:val="24"/>
        </w:rPr>
      </w:pPr>
      <w:r>
        <w:rPr>
          <w:rFonts w:ascii="Bookman Old Style" w:hAnsi="Bookman Old Style" w:eastAsia="Times New Roman" w:cs="Tahoma"/>
          <w:bCs/>
          <w:sz w:val="24"/>
          <w:szCs w:val="20"/>
        </w:rPr>
        <w:t>1</w:t>
      </w:r>
      <w:r>
        <w:rPr>
          <w:rFonts w:ascii="Bookman Old Style" w:hAnsi="Bookman Old Style" w:eastAsia="Times New Roman" w:cs="Tahoma"/>
          <w:bCs/>
          <w:sz w:val="24"/>
          <w:szCs w:val="20"/>
        </w:rPr>
        <w:tab/>
      </w:r>
      <w:r>
        <w:rPr>
          <w:rFonts w:ascii="Bookman Old Style" w:hAnsi="Bookman Old Style" w:eastAsia="Times New Roman" w:cs="Times New Roman"/>
          <w:sz w:val="24"/>
          <w:szCs w:val="24"/>
        </w:rPr>
        <w:t>Beroperasinya kapal peti kemas tol laut yg merupakan                               subsidi pemerintah pusat dengan rute Makassar–Selayar–Jampea-Raha–Sikeli – Ereke PP yang memuat bahan pokok dan penting lainnya.</w:t>
      </w:r>
    </w:p>
    <w:p>
      <w:pPr>
        <w:tabs>
          <w:tab w:val="left" w:pos="851"/>
          <w:tab w:val="left" w:pos="1596"/>
        </w:tabs>
        <w:spacing w:after="0" w:line="360" w:lineRule="auto"/>
        <w:ind w:left="851"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2.</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 xml:space="preserve">Modernisasi Pelabuhan Benteng Selayar untuk mendorong peningkatan </w:t>
      </w:r>
    </w:p>
    <w:p>
      <w:pPr>
        <w:tabs>
          <w:tab w:val="left" w:pos="851"/>
          <w:tab w:val="left" w:pos="1596"/>
        </w:tabs>
        <w:spacing w:after="0" w:line="360" w:lineRule="auto"/>
        <w:ind w:left="851"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ekonomi di Kepulauan Selayar kerjasama Pemerintah Daerah dan                    PT. Pelindo IV yaitu  Launching peti kemas tanggal 9 September 2020 dengan operator PT. Temas pertanda dimulainya kegiatan kontainerisasi  yang mengangkut berbagai produk pertanian, perkebunan dan perikanan oleh KM. Semangat Mas dengan jadwal operasional 2 (dua) kali sebulan.</w:t>
      </w:r>
    </w:p>
    <w:p>
      <w:pPr>
        <w:tabs>
          <w:tab w:val="left" w:pos="851"/>
          <w:tab w:val="left" w:pos="1560"/>
        </w:tabs>
        <w:spacing w:after="0" w:line="360" w:lineRule="auto"/>
        <w:ind w:left="851"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3.</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Terbangunnya 6 (enam) Unit Pasar Rakyat yang merupakan anggaran dari  Dana Alokasi Khusus (DAK) dan Tugas Pembantuan Kementerian Perdagangan RI yaitu :</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a.</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Pasar Rakyat Barugaia Kecamatan Bontomanai Tahun 2019;</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b.</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Pasar Rakyat Bonea Kecamatan Benteng Utara Tahun 2019;</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c.  </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Pasar Rakyat Padang Kecamatan Bontoharu Tahun 2019;</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d.  </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 xml:space="preserve">Pasar Rakyat Appatanah Kecamatan Bontosikuyu Tahun 2019;                      </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e.  </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 xml:space="preserve">Pasar Rakyat Bontolempangan Kecamatan Buki Tahun 2019;                            </w:t>
      </w:r>
    </w:p>
    <w:p>
      <w:pPr>
        <w:tabs>
          <w:tab w:val="left" w:pos="851"/>
          <w:tab w:val="left" w:pos="1276"/>
        </w:tabs>
        <w:spacing w:after="0" w:line="360" w:lineRule="auto"/>
        <w:ind w:left="1276" w:hanging="425"/>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f.  </w:t>
      </w: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Pasar Rakyat Pasimasunggu Timur Tahun 2020;</w:t>
      </w:r>
    </w:p>
    <w:p>
      <w:pPr>
        <w:tabs>
          <w:tab w:val="left" w:pos="1418"/>
        </w:tabs>
        <w:autoSpaceDE w:val="0"/>
        <w:autoSpaceDN w:val="0"/>
        <w:adjustRightInd w:val="0"/>
        <w:spacing w:after="0" w:line="360" w:lineRule="auto"/>
        <w:ind w:left="851"/>
        <w:jc w:val="both"/>
        <w:rPr>
          <w:rFonts w:ascii="Bookman Old Style" w:hAnsi="Bookman Old Style" w:eastAsia="Times New Roman" w:cs="Tahoma"/>
          <w:bCs/>
          <w:sz w:val="14"/>
          <w:szCs w:val="24"/>
          <w:lang w:eastAsia="id-ID"/>
        </w:rPr>
      </w:pPr>
    </w:p>
    <w:p>
      <w:pPr>
        <w:tabs>
          <w:tab w:val="left" w:pos="1418"/>
        </w:tabs>
        <w:autoSpaceDE w:val="0"/>
        <w:autoSpaceDN w:val="0"/>
        <w:adjustRightInd w:val="0"/>
        <w:spacing w:after="0" w:line="360" w:lineRule="auto"/>
        <w:ind w:left="426"/>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Dengan adanya angkutan peti kemas langsung dari Selayar                      ke  Surabaya  maka   biaya  untuk   pengiriman   barang   dari   Selayar  ke Surabaya yang selama ini melalui Makassar otomatis lebih efektif  dan lebih efisien terutama dari biaya angkut yang lebih murah maupun dari jangka waktu pengangkutannya yang lebih cepat.</w:t>
      </w: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 xml:space="preserve">Sejak beroperasinya angkutan peti kemas  yang ditandai dengan louncing perdana pada tanggal 9 September 2020 telah dimanfaatkan oleh masyarakat Selayar utamanya para pelaku usaha komoditi hasil pertanian dan perikanan yang  cukup membawa keuntungan dan harga komoditi mulai meningkat drastis terutama harga kopra yang harga sebelumnya cukup memprihatinkan masyarakat khususnya para petani. </w:t>
      </w: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Kegiatan pengiriman barang dari Selayar ke Surabaya sampai dengan saat ini telah melakukan kegiatan pemuatan sebanyak 216 Box  dan kegiatan pemuatan dari Surabaya ke Selayar sebanyak 9 Box dengan jenis komoditi yang diangkut sebagaimana table berikut ini :</w:t>
      </w: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s>
        <w:autoSpaceDE w:val="0"/>
        <w:autoSpaceDN w:val="0"/>
        <w:adjustRightInd w:val="0"/>
        <w:spacing w:after="0" w:line="360" w:lineRule="auto"/>
        <w:ind w:left="426" w:firstLine="425"/>
        <w:jc w:val="both"/>
        <w:rPr>
          <w:rFonts w:ascii="Bookman Old Style" w:hAnsi="Bookman Old Style" w:eastAsia="Times New Roman" w:cs="Tahoma"/>
          <w:bCs/>
          <w:sz w:val="10"/>
          <w:szCs w:val="10"/>
          <w:lang w:eastAsia="id-ID"/>
        </w:rPr>
      </w:pPr>
    </w:p>
    <w:p>
      <w:pPr>
        <w:tabs>
          <w:tab w:val="left" w:pos="1418"/>
          <w:tab w:val="left" w:pos="2694"/>
          <w:tab w:val="left" w:pos="2977"/>
        </w:tabs>
        <w:spacing w:after="0" w:line="360" w:lineRule="auto"/>
        <w:ind w:left="1146"/>
        <w:contextualSpacing/>
        <w:jc w:val="center"/>
        <w:rPr>
          <w:rFonts w:ascii="Bookman Old Style" w:hAnsi="Bookman Old Style" w:eastAsia="Times New Roman" w:cs="Tahoma"/>
          <w:sz w:val="24"/>
          <w:szCs w:val="24"/>
          <w:lang w:val="fi-FI"/>
        </w:rPr>
      </w:pPr>
      <w:r>
        <w:rPr>
          <w:rFonts w:ascii="Bookman Old Style" w:hAnsi="Bookman Old Style" w:eastAsia="Times New Roman" w:cs="Tahoma"/>
          <w:sz w:val="24"/>
          <w:szCs w:val="24"/>
          <w:lang w:val="fi-FI"/>
        </w:rPr>
        <w:t>Tabel 2.3.10</w:t>
      </w:r>
    </w:p>
    <w:p>
      <w:pPr>
        <w:tabs>
          <w:tab w:val="left" w:pos="1418"/>
          <w:tab w:val="left" w:pos="2694"/>
          <w:tab w:val="left" w:pos="2977"/>
        </w:tabs>
        <w:spacing w:after="0" w:line="360" w:lineRule="auto"/>
        <w:ind w:left="1146"/>
        <w:contextualSpacing/>
        <w:jc w:val="center"/>
        <w:rPr>
          <w:rFonts w:ascii="Bookman Old Style" w:hAnsi="Bookman Old Style" w:eastAsia="Times New Roman" w:cs="Tahoma"/>
          <w:sz w:val="24"/>
          <w:szCs w:val="24"/>
          <w:lang w:val="fi-FI"/>
        </w:rPr>
      </w:pPr>
      <w:r>
        <w:rPr>
          <w:rFonts w:ascii="Bookman Old Style" w:hAnsi="Bookman Old Style" w:eastAsia="Times New Roman" w:cs="Tahoma"/>
          <w:sz w:val="24"/>
          <w:szCs w:val="24"/>
          <w:lang w:val="fi-FI"/>
        </w:rPr>
        <w:t>Jenis komoditi asal Selayar yang telah  dikirim  ke Surabaya :</w:t>
      </w:r>
    </w:p>
    <w:tbl>
      <w:tblPr>
        <w:tblStyle w:val="4"/>
        <w:tblW w:w="7283" w:type="dxa"/>
        <w:tblInd w:w="1668" w:type="dxa"/>
        <w:tblLayout w:type="autofit"/>
        <w:tblCellMar>
          <w:top w:w="0" w:type="dxa"/>
          <w:left w:w="108" w:type="dxa"/>
          <w:bottom w:w="0" w:type="dxa"/>
          <w:right w:w="108" w:type="dxa"/>
        </w:tblCellMar>
      </w:tblPr>
      <w:tblGrid>
        <w:gridCol w:w="514"/>
        <w:gridCol w:w="3367"/>
        <w:gridCol w:w="1701"/>
        <w:gridCol w:w="1701"/>
      </w:tblGrid>
      <w:tr>
        <w:tblPrEx>
          <w:tblCellMar>
            <w:top w:w="0" w:type="dxa"/>
            <w:left w:w="108" w:type="dxa"/>
            <w:bottom w:w="0" w:type="dxa"/>
            <w:right w:w="108" w:type="dxa"/>
          </w:tblCellMar>
        </w:tblPrEx>
        <w:trPr>
          <w:trHeight w:val="330" w:hRule="atLeast"/>
        </w:trPr>
        <w:tc>
          <w:tcPr>
            <w:tcW w:w="514" w:type="dxa"/>
            <w:tcBorders>
              <w:top w:val="single" w:color="auto" w:sz="8" w:space="0"/>
              <w:left w:val="single" w:color="auto" w:sz="8" w:space="0"/>
              <w:bottom w:val="single" w:color="auto" w:sz="8" w:space="0"/>
              <w:right w:val="nil"/>
            </w:tcBorders>
            <w:shd w:val="clear" w:color="auto" w:fill="auto"/>
            <w:noWrap/>
            <w:vAlign w:val="bottom"/>
          </w:tcPr>
          <w:p>
            <w:pPr>
              <w:spacing w:after="0" w:line="240" w:lineRule="auto"/>
              <w:jc w:val="center"/>
              <w:rPr>
                <w:rFonts w:ascii="Bookman Old Style" w:hAnsi="Bookman Old Style" w:eastAsia="Times New Roman" w:cs="Calibri"/>
                <w:b/>
                <w:bCs/>
                <w:sz w:val="24"/>
                <w:szCs w:val="24"/>
              </w:rPr>
            </w:pPr>
            <w:r>
              <w:rPr>
                <w:rFonts w:ascii="Bookman Old Style" w:hAnsi="Bookman Old Style" w:eastAsia="Times New Roman" w:cs="Calibri"/>
                <w:b/>
                <w:bCs/>
                <w:sz w:val="24"/>
                <w:szCs w:val="24"/>
              </w:rPr>
              <w:t>I</w:t>
            </w:r>
          </w:p>
          <w:p>
            <w:pPr>
              <w:spacing w:after="0" w:line="240" w:lineRule="auto"/>
              <w:rPr>
                <w:rFonts w:ascii="Bookman Old Style" w:hAnsi="Bookman Old Style" w:eastAsia="Times New Roman" w:cs="Calibri"/>
                <w:b/>
                <w:bCs/>
                <w:sz w:val="24"/>
                <w:szCs w:val="24"/>
              </w:rPr>
            </w:pPr>
          </w:p>
        </w:tc>
        <w:tc>
          <w:tcPr>
            <w:tcW w:w="3367" w:type="dxa"/>
            <w:tcBorders>
              <w:top w:val="single" w:color="auto" w:sz="8" w:space="0"/>
              <w:left w:val="single" w:color="auto" w:sz="8" w:space="0"/>
              <w:bottom w:val="single" w:color="auto" w:sz="8" w:space="0"/>
              <w:right w:val="single" w:color="auto" w:sz="8" w:space="0"/>
            </w:tcBorders>
            <w:shd w:val="clear" w:color="auto" w:fill="auto"/>
            <w:noWrap/>
            <w:vAlign w:val="bottom"/>
          </w:tcPr>
          <w:p>
            <w:pPr>
              <w:spacing w:after="0" w:line="240" w:lineRule="auto"/>
              <w:rPr>
                <w:rFonts w:ascii="Bookman Old Style" w:hAnsi="Bookman Old Style" w:eastAsia="Times New Roman" w:cs="Calibri"/>
                <w:b/>
                <w:bCs/>
                <w:sz w:val="24"/>
                <w:szCs w:val="24"/>
              </w:rPr>
            </w:pPr>
            <w:r>
              <w:rPr>
                <w:rFonts w:ascii="Bookman Old Style" w:hAnsi="Bookman Old Style" w:eastAsia="Times New Roman" w:cs="Calibri"/>
                <w:b/>
                <w:bCs/>
                <w:sz w:val="24"/>
                <w:szCs w:val="24"/>
              </w:rPr>
              <w:t>Komoditi</w:t>
            </w:r>
          </w:p>
          <w:p>
            <w:pPr>
              <w:spacing w:after="0" w:line="240" w:lineRule="auto"/>
              <w:rPr>
                <w:rFonts w:ascii="Bookman Old Style" w:hAnsi="Bookman Old Style" w:eastAsia="Times New Roman" w:cs="Calibri"/>
                <w:b/>
                <w:bCs/>
                <w:sz w:val="24"/>
                <w:szCs w:val="24"/>
              </w:rPr>
            </w:pPr>
          </w:p>
        </w:tc>
        <w:tc>
          <w:tcPr>
            <w:tcW w:w="1701" w:type="dxa"/>
            <w:tcBorders>
              <w:top w:val="single" w:color="auto" w:sz="8" w:space="0"/>
              <w:left w:val="nil"/>
              <w:bottom w:val="single" w:color="auto" w:sz="8"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b/>
                <w:bCs/>
                <w:sz w:val="24"/>
                <w:szCs w:val="24"/>
              </w:rPr>
            </w:pPr>
            <w:r>
              <w:rPr>
                <w:rFonts w:ascii="Bookman Old Style" w:hAnsi="Bookman Old Style" w:eastAsia="Times New Roman" w:cs="Calibri"/>
                <w:b/>
                <w:bCs/>
                <w:sz w:val="24"/>
                <w:szCs w:val="24"/>
              </w:rPr>
              <w:t>Satuan (container)</w:t>
            </w:r>
          </w:p>
          <w:p>
            <w:pPr>
              <w:spacing w:after="0" w:line="240" w:lineRule="auto"/>
              <w:jc w:val="center"/>
              <w:rPr>
                <w:rFonts w:ascii="Bookman Old Style" w:hAnsi="Bookman Old Style" w:eastAsia="Times New Roman" w:cs="Calibri"/>
                <w:b/>
                <w:bCs/>
                <w:sz w:val="24"/>
                <w:szCs w:val="24"/>
              </w:rPr>
            </w:pPr>
          </w:p>
        </w:tc>
        <w:tc>
          <w:tcPr>
            <w:tcW w:w="1701" w:type="dxa"/>
            <w:tcBorders>
              <w:top w:val="single" w:color="auto" w:sz="8" w:space="0"/>
              <w:left w:val="nil"/>
              <w:bottom w:val="single" w:color="auto" w:sz="8"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b/>
                <w:bCs/>
                <w:sz w:val="24"/>
                <w:szCs w:val="24"/>
              </w:rPr>
            </w:pPr>
            <w:r>
              <w:rPr>
                <w:rFonts w:ascii="Bookman Old Style" w:hAnsi="Bookman Old Style" w:eastAsia="Times New Roman" w:cs="Calibri"/>
                <w:b/>
                <w:bCs/>
                <w:sz w:val="24"/>
                <w:szCs w:val="24"/>
              </w:rPr>
              <w:t>Rata - Rata (Rp.)</w:t>
            </w: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000000" w:sz="4" w:space="0"/>
              <w:right w:val="single" w:color="auto" w:sz="4" w:space="0"/>
            </w:tcBorders>
            <w:shd w:val="clear" w:color="auto" w:fill="auto"/>
            <w:noWrap/>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1</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Kopra</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63</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 </w:t>
            </w: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2</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Kelapa Biji</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26</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3</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Ikan</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3</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000000" w:sz="4" w:space="0"/>
              <w:right w:val="single" w:color="auto" w:sz="4" w:space="0"/>
            </w:tcBorders>
            <w:shd w:val="clear" w:color="auto" w:fill="auto"/>
            <w:noWrap/>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4</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Cengkeh</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1</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 </w:t>
            </w: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5</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Arang</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16</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Rp. 80.000</w:t>
            </w:r>
          </w:p>
        </w:tc>
      </w:tr>
      <w:tr>
        <w:tblPrEx>
          <w:tblCellMar>
            <w:top w:w="0" w:type="dxa"/>
            <w:left w:w="108" w:type="dxa"/>
            <w:bottom w:w="0" w:type="dxa"/>
            <w:right w:w="108" w:type="dxa"/>
          </w:tblCellMar>
        </w:tblPrEx>
        <w:trPr>
          <w:trHeight w:val="315" w:hRule="atLeast"/>
        </w:trPr>
        <w:tc>
          <w:tcPr>
            <w:tcW w:w="514" w:type="dxa"/>
            <w:tcBorders>
              <w:top w:val="nil"/>
              <w:left w:val="single" w:color="auto" w:sz="8" w:space="0"/>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6</w:t>
            </w:r>
          </w:p>
        </w:tc>
        <w:tc>
          <w:tcPr>
            <w:tcW w:w="3367"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Bookman Old Style" w:hAnsi="Bookman Old Style" w:eastAsia="Times New Roman" w:cs="Calibri"/>
                <w:sz w:val="24"/>
                <w:szCs w:val="24"/>
              </w:rPr>
            </w:pPr>
            <w:r>
              <w:rPr>
                <w:rFonts w:ascii="Bookman Old Style" w:hAnsi="Bookman Old Style" w:eastAsia="Times New Roman" w:cs="Calibri"/>
                <w:sz w:val="24"/>
                <w:szCs w:val="24"/>
              </w:rPr>
              <w:t>Serbuk kayu</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1</w:t>
            </w:r>
          </w:p>
        </w:tc>
        <w:tc>
          <w:tcPr>
            <w:tcW w:w="1701" w:type="dxa"/>
            <w:tcBorders>
              <w:top w:val="nil"/>
              <w:left w:val="nil"/>
              <w:bottom w:val="single" w:color="auto" w:sz="4" w:space="0"/>
              <w:right w:val="single" w:color="auto" w:sz="8" w:space="0"/>
            </w:tcBorders>
            <w:shd w:val="clear" w:color="auto" w:fill="auto"/>
            <w:noWrap/>
            <w:vAlign w:val="bottom"/>
          </w:tcPr>
          <w:p>
            <w:pPr>
              <w:spacing w:after="0" w:line="240" w:lineRule="auto"/>
              <w:jc w:val="center"/>
              <w:rPr>
                <w:rFonts w:ascii="Bookman Old Style" w:hAnsi="Bookman Old Style" w:eastAsia="Times New Roman" w:cs="Calibri"/>
                <w:sz w:val="24"/>
                <w:szCs w:val="24"/>
              </w:rPr>
            </w:pPr>
            <w:r>
              <w:rPr>
                <w:rFonts w:ascii="Bookman Old Style" w:hAnsi="Bookman Old Style" w:eastAsia="Times New Roman" w:cs="Calibri"/>
                <w:sz w:val="24"/>
                <w:szCs w:val="24"/>
              </w:rPr>
              <w:t> </w:t>
            </w:r>
          </w:p>
        </w:tc>
      </w:tr>
    </w:tbl>
    <w:p>
      <w:pPr>
        <w:tabs>
          <w:tab w:val="left" w:pos="1701"/>
        </w:tabs>
        <w:autoSpaceDE w:val="0"/>
        <w:autoSpaceDN w:val="0"/>
        <w:adjustRightInd w:val="0"/>
        <w:spacing w:before="240" w:after="0" w:line="360" w:lineRule="auto"/>
        <w:ind w:left="851"/>
        <w:contextualSpacing/>
        <w:jc w:val="both"/>
        <w:rPr>
          <w:rFonts w:ascii="Bookman Old Style" w:hAnsi="Bookman Old Style" w:eastAsia="Times New Roman" w:cs="Tahoma"/>
          <w:sz w:val="8"/>
          <w:szCs w:val="8"/>
          <w:lang w:val="en-GB"/>
        </w:rPr>
      </w:pPr>
    </w:p>
    <w:p>
      <w:pPr>
        <w:tabs>
          <w:tab w:val="left" w:pos="1701"/>
        </w:tabs>
        <w:autoSpaceDE w:val="0"/>
        <w:autoSpaceDN w:val="0"/>
        <w:adjustRightInd w:val="0"/>
        <w:spacing w:before="240" w:after="0" w:line="360" w:lineRule="auto"/>
        <w:ind w:left="851"/>
        <w:contextualSpacing/>
        <w:jc w:val="both"/>
        <w:rPr>
          <w:rFonts w:ascii="Bookman Old Style" w:hAnsi="Bookman Old Style" w:eastAsia="Times New Roman" w:cs="Tahoma"/>
          <w:sz w:val="8"/>
          <w:szCs w:val="8"/>
          <w:lang w:val="en-GB"/>
        </w:rPr>
      </w:pPr>
    </w:p>
    <w:p>
      <w:pPr>
        <w:tabs>
          <w:tab w:val="left" w:pos="1701"/>
        </w:tabs>
        <w:autoSpaceDE w:val="0"/>
        <w:autoSpaceDN w:val="0"/>
        <w:adjustRightInd w:val="0"/>
        <w:spacing w:before="240" w:after="0" w:line="360" w:lineRule="auto"/>
        <w:ind w:left="0"/>
        <w:contextualSpacing/>
        <w:jc w:val="both"/>
        <w:rPr>
          <w:rFonts w:ascii="Bookman Old Style" w:hAnsi="Bookman Old Style" w:eastAsia="Times New Roman" w:cs="Tahoma"/>
          <w:sz w:val="8"/>
          <w:szCs w:val="8"/>
          <w:lang w:val="en-GB"/>
        </w:rPr>
      </w:pPr>
    </w:p>
    <w:p>
      <w:pPr>
        <w:tabs>
          <w:tab w:val="left" w:pos="284"/>
          <w:tab w:val="left" w:pos="426"/>
          <w:tab w:val="left" w:pos="1418"/>
        </w:tabs>
        <w:autoSpaceDE w:val="0"/>
        <w:autoSpaceDN w:val="0"/>
        <w:adjustRightInd w:val="0"/>
        <w:spacing w:after="0" w:line="360" w:lineRule="auto"/>
        <w:ind w:left="426"/>
        <w:jc w:val="both"/>
        <w:rPr>
          <w:rFonts w:ascii="Bookman Old Style" w:hAnsi="Bookman Old Style" w:eastAsia="Times New Roman" w:cs="Tahoma"/>
          <w:bCs/>
          <w:sz w:val="24"/>
          <w:szCs w:val="24"/>
        </w:rPr>
      </w:pPr>
      <w:r>
        <w:rPr>
          <w:rFonts w:ascii="Bookman Old Style" w:hAnsi="Bookman Old Style" w:eastAsia="Times New Roman" w:cs="Tahoma"/>
          <w:bCs/>
          <w:sz w:val="24"/>
          <w:szCs w:val="24"/>
        </w:rPr>
        <w:t>Beberapa faktor penghambat yang menjadi kendala adalah :</w:t>
      </w:r>
    </w:p>
    <w:p>
      <w:pPr>
        <w:autoSpaceDE w:val="0"/>
        <w:autoSpaceDN w:val="0"/>
        <w:adjustRightInd w:val="0"/>
        <w:spacing w:before="240" w:after="0" w:line="360" w:lineRule="auto"/>
        <w:ind w:left="851" w:hanging="425"/>
        <w:jc w:val="both"/>
        <w:rPr>
          <w:rFonts w:ascii="Bookman Old Style" w:hAnsi="Bookman Old Style" w:eastAsia="Times New Roman" w:cs="Tahoma"/>
          <w:sz w:val="24"/>
          <w:szCs w:val="24"/>
        </w:rPr>
      </w:pPr>
      <w:r>
        <w:rPr>
          <w:rFonts w:ascii="Bookman Old Style" w:hAnsi="Bookman Old Style" w:eastAsia="Times New Roman" w:cs="Tahoma"/>
          <w:sz w:val="24"/>
          <w:szCs w:val="24"/>
        </w:rPr>
        <w:t xml:space="preserve">1. </w:t>
      </w:r>
      <w:r>
        <w:rPr>
          <w:rFonts w:ascii="Bookman Old Style" w:hAnsi="Bookman Old Style" w:eastAsia="Times New Roman" w:cs="Tahoma"/>
          <w:sz w:val="24"/>
          <w:szCs w:val="24"/>
        </w:rPr>
        <w:tab/>
      </w:r>
      <w:r>
        <w:rPr>
          <w:rFonts w:ascii="Bookman Old Style" w:hAnsi="Bookman Old Style" w:eastAsia="Times New Roman" w:cs="Tahoma"/>
          <w:sz w:val="24"/>
          <w:szCs w:val="24"/>
        </w:rPr>
        <w:t>Akses pasar dan jaringan pemasaran masih perlu ditingkatkan;</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2.</w:t>
      </w:r>
      <w:r>
        <w:rPr>
          <w:rFonts w:ascii="Bookman Old Style" w:hAnsi="Bookman Old Style" w:eastAsia="Times New Roman" w:cs="Tahoma"/>
          <w:sz w:val="24"/>
          <w:szCs w:val="24"/>
        </w:rPr>
        <w:tab/>
      </w:r>
      <w:r>
        <w:rPr>
          <w:rFonts w:ascii="Bookman Old Style" w:hAnsi="Bookman Old Style" w:eastAsia="Times New Roman" w:cs="Tahoma"/>
          <w:sz w:val="24"/>
          <w:szCs w:val="24"/>
        </w:rPr>
        <w:t>Infrastruktur perdagangan masih perlu mendapat dukungan penuh dari pemerintah;</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3.</w:t>
      </w:r>
      <w:r>
        <w:rPr>
          <w:rFonts w:ascii="Bookman Old Style" w:hAnsi="Bookman Old Style" w:eastAsia="Times New Roman" w:cs="Tahoma"/>
          <w:sz w:val="24"/>
          <w:szCs w:val="24"/>
        </w:rPr>
        <w:tab/>
      </w:r>
      <w:r>
        <w:rPr>
          <w:rFonts w:ascii="Bookman Old Style" w:hAnsi="Bookman Old Style" w:eastAsia="Times New Roman" w:cs="Tahoma"/>
          <w:sz w:val="24"/>
          <w:szCs w:val="24"/>
        </w:rPr>
        <w:t>Kesadaran para produsen dan konsumen tentang tertib niaga dan perlindungan konsumen masih kurang;</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4.</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informasi harga pasar dan pengetahuan tentang teknis pemasaran;</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5. Belum adanya kendaraan operasional yang mendukung tugas-tugas kemetrologian;</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6.</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kerjasama pengawasan antar instansi dan lembaga perlindungan konsumen;</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7.</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sumber daya aparatur pengawasan konsumen;</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8.</w:t>
      </w:r>
      <w:r>
        <w:rPr>
          <w:rFonts w:ascii="Bookman Old Style" w:hAnsi="Bookman Old Style" w:eastAsia="Times New Roman" w:cs="Tahoma"/>
          <w:sz w:val="24"/>
          <w:szCs w:val="24"/>
        </w:rPr>
        <w:tab/>
      </w:r>
      <w:r>
        <w:rPr>
          <w:rFonts w:ascii="Bookman Old Style" w:hAnsi="Bookman Old Style" w:eastAsia="Times New Roman" w:cs="Tahoma"/>
          <w:sz w:val="24"/>
          <w:szCs w:val="24"/>
        </w:rPr>
        <w:t>Masih minimnya bagi para pelaku usaha yang mencamtumkan label informasi kualitas produknya;</w:t>
      </w:r>
    </w:p>
    <w:p>
      <w:pPr>
        <w:tabs>
          <w:tab w:val="left" w:pos="284"/>
        </w:tabs>
        <w:autoSpaceDE w:val="0"/>
        <w:autoSpaceDN w:val="0"/>
        <w:adjustRightInd w:val="0"/>
        <w:spacing w:after="0" w:line="360" w:lineRule="auto"/>
        <w:ind w:left="851"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9.</w:t>
      </w:r>
      <w:r>
        <w:rPr>
          <w:rFonts w:ascii="Bookman Old Style" w:hAnsi="Bookman Old Style" w:eastAsia="Times New Roman" w:cs="Tahoma"/>
          <w:sz w:val="24"/>
          <w:szCs w:val="24"/>
        </w:rPr>
        <w:tab/>
      </w:r>
      <w:r>
        <w:rPr>
          <w:rFonts w:ascii="Bookman Old Style" w:hAnsi="Bookman Old Style" w:eastAsia="Times New Roman" w:cs="Tahoma"/>
          <w:sz w:val="24"/>
          <w:szCs w:val="24"/>
        </w:rPr>
        <w:t>Semua komoditi asal Selayar belum bisa berstatus ekspor asal selayar karena belum adanya Surat Keterangan Asal Barang yang bisa diterbitkan di Selayar;</w:t>
      </w:r>
    </w:p>
    <w:p>
      <w:pPr>
        <w:tabs>
          <w:tab w:val="left" w:pos="1418"/>
        </w:tabs>
        <w:autoSpaceDE w:val="0"/>
        <w:autoSpaceDN w:val="0"/>
        <w:adjustRightInd w:val="0"/>
        <w:spacing w:after="0" w:line="360" w:lineRule="auto"/>
        <w:ind w:left="851"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sz w:val="24"/>
          <w:szCs w:val="24"/>
          <w:lang w:eastAsia="id-ID"/>
        </w:rPr>
        <w:t>10.</w:t>
      </w: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Belum maksimalnya pengembangan Pasar Bonea dikarenakan sampai dengan saat ini pedagang pasar yang menempati Pasar Tempat Pelelangan Ikan belum berhasil direlokasi ke pasar Bonea;</w:t>
      </w:r>
    </w:p>
    <w:p>
      <w:pPr>
        <w:tabs>
          <w:tab w:val="left" w:pos="993"/>
        </w:tabs>
        <w:autoSpaceDE w:val="0"/>
        <w:autoSpaceDN w:val="0"/>
        <w:adjustRightInd w:val="0"/>
        <w:spacing w:after="0" w:line="360" w:lineRule="auto"/>
        <w:ind w:left="426"/>
        <w:jc w:val="both"/>
        <w:rPr>
          <w:rFonts w:ascii="Bookman Old Style" w:hAnsi="Bookman Old Style" w:eastAsia="Times New Roman" w:cs="Tahoma"/>
          <w:bCs/>
          <w:color w:val="000000" w:themeColor="text1"/>
          <w:sz w:val="14"/>
          <w:szCs w:val="24"/>
          <w14:textFill>
            <w14:solidFill>
              <w14:schemeClr w14:val="tx1"/>
            </w14:solidFill>
          </w14:textFill>
        </w:rPr>
      </w:pPr>
    </w:p>
    <w:p>
      <w:pPr>
        <w:tabs>
          <w:tab w:val="left" w:pos="1418"/>
        </w:tabs>
        <w:autoSpaceDE w:val="0"/>
        <w:autoSpaceDN w:val="0"/>
        <w:adjustRightInd w:val="0"/>
        <w:spacing w:after="0" w:line="360" w:lineRule="auto"/>
        <w:ind w:left="426"/>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Langkah-langkah kedepan yang harus dilakukan oleh Dinas Perdagangan, Koperasi dan Usaha Kecil dan Menengah dalam memperbaiki kinerja dan menghadapi tantangan kedepan, antara lain :</w:t>
      </w:r>
    </w:p>
    <w:p>
      <w:pPr>
        <w:numPr>
          <w:ilvl w:val="0"/>
          <w:numId w:val="31"/>
        </w:numPr>
        <w:tabs>
          <w:tab w:val="left" w:pos="993"/>
        </w:tabs>
        <w:autoSpaceDE w:val="0"/>
        <w:autoSpaceDN w:val="0"/>
        <w:adjustRightInd w:val="0"/>
        <w:spacing w:after="0" w:line="360" w:lineRule="auto"/>
        <w:ind w:left="851" w:hanging="42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Melakukan percepatan pengembangan kawasan distribusi logistik                         di kawasan timur Indonesia khususnya di Kabupaten Kepulauan Selayar. </w:t>
      </w:r>
    </w:p>
    <w:p>
      <w:pPr>
        <w:numPr>
          <w:ilvl w:val="0"/>
          <w:numId w:val="31"/>
        </w:numPr>
        <w:tabs>
          <w:tab w:val="left" w:pos="993"/>
        </w:tabs>
        <w:autoSpaceDE w:val="0"/>
        <w:autoSpaceDN w:val="0"/>
        <w:adjustRightInd w:val="0"/>
        <w:spacing w:after="0" w:line="360" w:lineRule="auto"/>
        <w:ind w:left="851" w:hanging="42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Perluasan jaringan pemasaran</w:t>
      </w:r>
    </w:p>
    <w:p>
      <w:pPr>
        <w:numPr>
          <w:ilvl w:val="0"/>
          <w:numId w:val="31"/>
        </w:numPr>
        <w:tabs>
          <w:tab w:val="left" w:pos="993"/>
        </w:tabs>
        <w:autoSpaceDE w:val="0"/>
        <w:autoSpaceDN w:val="0"/>
        <w:adjustRightInd w:val="0"/>
        <w:spacing w:after="0" w:line="360" w:lineRule="auto"/>
        <w:ind w:left="851"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Upaya perlindungan konsumen dalam upaya ketetapan UTTP</w:t>
      </w:r>
    </w:p>
    <w:p>
      <w:pPr>
        <w:numPr>
          <w:ilvl w:val="0"/>
          <w:numId w:val="31"/>
        </w:numPr>
        <w:tabs>
          <w:tab w:val="left" w:pos="993"/>
        </w:tabs>
        <w:autoSpaceDE w:val="0"/>
        <w:autoSpaceDN w:val="0"/>
        <w:adjustRightInd w:val="0"/>
        <w:spacing w:after="0" w:line="360" w:lineRule="auto"/>
        <w:ind w:left="851"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Upaya peningkatan daya saing produk-produk yang dipromosikan</w:t>
      </w:r>
    </w:p>
    <w:p>
      <w:pPr>
        <w:numPr>
          <w:ilvl w:val="0"/>
          <w:numId w:val="31"/>
        </w:numPr>
        <w:tabs>
          <w:tab w:val="left" w:pos="993"/>
        </w:tabs>
        <w:autoSpaceDE w:val="0"/>
        <w:autoSpaceDN w:val="0"/>
        <w:adjustRightInd w:val="0"/>
        <w:spacing w:after="0" w:line="360" w:lineRule="auto"/>
        <w:ind w:left="851" w:hanging="425"/>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Sinergitas peraturan pusat dan daerah</w:t>
      </w:r>
    </w:p>
    <w:p>
      <w:pPr>
        <w:tabs>
          <w:tab w:val="left" w:pos="993"/>
        </w:tabs>
        <w:autoSpaceDE w:val="0"/>
        <w:autoSpaceDN w:val="0"/>
        <w:adjustRightInd w:val="0"/>
        <w:spacing w:after="0" w:line="360" w:lineRule="auto"/>
        <w:ind w:left="851"/>
        <w:contextualSpacing/>
        <w:jc w:val="both"/>
        <w:rPr>
          <w:rFonts w:ascii="Bookman Old Style" w:hAnsi="Bookman Old Style" w:eastAsia="Times New Roman" w:cs="Tahoma"/>
          <w:b/>
          <w:color w:val="000000" w:themeColor="text1"/>
          <w:sz w:val="24"/>
          <w:szCs w:val="24"/>
          <w14:textFill>
            <w14:solidFill>
              <w14:schemeClr w14:val="tx1"/>
            </w14:solidFill>
          </w14:textFill>
        </w:rPr>
      </w:pPr>
    </w:p>
    <w:p>
      <w:pPr>
        <w:numPr>
          <w:ilvl w:val="0"/>
          <w:numId w:val="26"/>
        </w:numPr>
        <w:tabs>
          <w:tab w:val="left" w:pos="567"/>
          <w:tab w:val="clear" w:pos="720"/>
        </w:tabs>
        <w:autoSpaceDE w:val="0"/>
        <w:autoSpaceDN w:val="0"/>
        <w:adjustRightInd w:val="0"/>
        <w:spacing w:after="0" w:line="360" w:lineRule="auto"/>
        <w:ind w:left="426" w:hanging="360"/>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Cakupan bina kelompok pedagang/usaha informal</w:t>
      </w:r>
    </w:p>
    <w:p>
      <w:pPr>
        <w:tabs>
          <w:tab w:val="left" w:pos="1418"/>
        </w:tabs>
        <w:autoSpaceDE w:val="0"/>
        <w:autoSpaceDN w:val="0"/>
        <w:adjustRightInd w:val="0"/>
        <w:spacing w:after="0" w:line="360" w:lineRule="auto"/>
        <w:ind w:left="426" w:firstLine="29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 xml:space="preserve">Dinas Perdagangan, Koperasi dan Usaha Kecil dan Menengah melakukan pembinaan pada </w:t>
      </w:r>
      <w:r>
        <w:rPr>
          <w:rFonts w:ascii="Bookman Old Style" w:hAnsi="Bookman Old Style" w:eastAsia="Times New Roman" w:cs="Tahoma"/>
          <w:color w:val="000000" w:themeColor="text1"/>
          <w:sz w:val="24"/>
          <w:szCs w:val="24"/>
          <w14:textFill>
            <w14:solidFill>
              <w14:schemeClr w14:val="tx1"/>
            </w14:solidFill>
          </w14:textFill>
        </w:rPr>
        <w:t xml:space="preserve">1.843 </w:t>
      </w:r>
      <w:r>
        <w:rPr>
          <w:rFonts w:ascii="Bookman Old Style" w:hAnsi="Bookman Old Style" w:eastAsia="Times New Roman" w:cs="Tahoma"/>
          <w:bCs/>
          <w:color w:val="000000" w:themeColor="text1"/>
          <w:sz w:val="24"/>
          <w:szCs w:val="24"/>
          <w14:textFill>
            <w14:solidFill>
              <w14:schemeClr w14:val="tx1"/>
            </w14:solidFill>
          </w14:textFill>
        </w:rPr>
        <w:t>pedagang dari 31 pasar se Kabupaten Kepulauan Selayar.</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418"/>
        </w:tabs>
        <w:autoSpaceDE w:val="0"/>
        <w:autoSpaceDN w:val="0"/>
        <w:adjustRightInd w:val="0"/>
        <w:spacing w:after="0" w:line="360" w:lineRule="auto"/>
        <w:ind w:left="426" w:firstLine="294"/>
        <w:contextualSpacing/>
        <w:jc w:val="both"/>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Arial" w:cs="Tahoma"/>
          <w:color w:val="000000" w:themeColor="text1"/>
          <w:sz w:val="24"/>
          <w:szCs w:val="24"/>
          <w14:textFill>
            <w14:solidFill>
              <w14:schemeClr w14:val="tx1"/>
            </w14:solidFill>
          </w14:textFill>
        </w:rPr>
        <w:t>Capaian cakupan bina kelompok pedagang/usaha informal                  di Kabupaten Kepulauan Selayar Tahun 2016 sampai tahun 2020 mengalami peningkatan. Pada tahun 2016 cakupan bina kelompok pedagang/usaha informal di Kabupaten Kepulauan Selayar sebesar 18 dan meningkat menjadi 31 pada tahun 2020. Hal ini disebakan dukungan yang besar pemerintah daerah terhadap pedagang/usaha informal yang ada          di daerahnya</w:t>
      </w:r>
      <w:r>
        <w:rPr>
          <w:rFonts w:ascii="Bookman Old Style" w:hAnsi="Bookman Old Style" w:eastAsia="Times New Roman" w:cs="Tahoma"/>
          <w:color w:val="000000" w:themeColor="text1"/>
          <w:sz w:val="24"/>
          <w:szCs w:val="24"/>
          <w14:textFill>
            <w14:solidFill>
              <w14:schemeClr w14:val="tx1"/>
            </w14:solidFill>
          </w14:textFill>
        </w:rPr>
        <w:t>.</w:t>
      </w:r>
      <w:r>
        <w:rPr>
          <w:rFonts w:ascii="Bookman Old Style" w:hAnsi="Bookman Old Style" w:eastAsia="Arial" w:cs="Tahoma"/>
          <w:color w:val="000000" w:themeColor="text1"/>
          <w:sz w:val="24"/>
          <w:szCs w:val="24"/>
          <w14:textFill>
            <w14:solidFill>
              <w14:schemeClr w14:val="tx1"/>
            </w14:solidFill>
          </w14:textFill>
        </w:rPr>
        <w:t xml:space="preserve"> Cakupan bina kelompok pedagang usaha informal menurut kecamatan dapat dilihat pada </w:t>
      </w:r>
      <w:r>
        <w:rPr>
          <w:rFonts w:ascii="Bookman Old Style" w:hAnsi="Bookman Old Style" w:eastAsia="Arial" w:cs="Tahoma"/>
          <w:bCs/>
          <w:color w:val="000000" w:themeColor="text1"/>
          <w:sz w:val="24"/>
          <w:szCs w:val="24"/>
          <w14:textFill>
            <w14:solidFill>
              <w14:schemeClr w14:val="tx1"/>
            </w14:solidFill>
          </w14:textFill>
        </w:rPr>
        <w:t>Tabel 2.3.11.</w:t>
      </w:r>
    </w:p>
    <w:p>
      <w:pPr>
        <w:spacing w:after="0" w:line="200" w:lineRule="exact"/>
        <w:rPr>
          <w:rFonts w:ascii="Bookman Old Style" w:hAnsi="Bookman Old Style" w:eastAsia="Times New Roman" w:cs="Tahoma"/>
          <w:bCs/>
          <w:color w:val="000000" w:themeColor="text1"/>
          <w:sz w:val="8"/>
          <w:szCs w:val="24"/>
          <w14:textFill>
            <w14:solidFill>
              <w14:schemeClr w14:val="tx1"/>
            </w14:solidFill>
          </w14:textFill>
        </w:rPr>
      </w:pPr>
    </w:p>
    <w:p>
      <w:pPr>
        <w:spacing w:after="0" w:line="200" w:lineRule="exact"/>
        <w:rPr>
          <w:rFonts w:ascii="Bookman Old Style" w:hAnsi="Bookman Old Style" w:eastAsia="Times New Roman" w:cs="Tahoma"/>
          <w:bCs/>
          <w:color w:val="000000" w:themeColor="text1"/>
          <w:sz w:val="24"/>
          <w:szCs w:val="24"/>
          <w14:textFill>
            <w14:solidFill>
              <w14:schemeClr w14:val="tx1"/>
            </w14:solidFill>
          </w14:textFill>
        </w:rPr>
      </w:pPr>
    </w:p>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Tabel 2.3.11</w:t>
      </w:r>
    </w:p>
    <w:p>
      <w:pPr>
        <w:spacing w:after="0" w:line="4" w:lineRule="exact"/>
        <w:rPr>
          <w:rFonts w:ascii="Bookman Old Style" w:hAnsi="Bookman Old Style" w:eastAsia="Times New Roman" w:cs="Tahoma"/>
          <w:bCs/>
          <w:color w:val="000000" w:themeColor="text1"/>
          <w:sz w:val="24"/>
          <w:szCs w:val="24"/>
          <w14:textFill>
            <w14:solidFill>
              <w14:schemeClr w14:val="tx1"/>
            </w14:solidFill>
          </w14:textFill>
        </w:rPr>
      </w:pPr>
    </w:p>
    <w:p>
      <w:pPr>
        <w:spacing w:after="0" w:line="0" w:lineRule="atLeast"/>
        <w:ind w:right="-479"/>
        <w:jc w:val="center"/>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Cakupan Bina Kelompok Pedagang/Usaha Informal Menurut Kecamatan</w:t>
      </w:r>
    </w:p>
    <w:p>
      <w:pPr>
        <w:spacing w:after="0" w:line="41" w:lineRule="exact"/>
        <w:rPr>
          <w:rFonts w:ascii="Bookman Old Style" w:hAnsi="Bookman Old Style" w:eastAsia="Times New Roman" w:cs="Tahoma"/>
          <w:bCs/>
          <w:color w:val="000000" w:themeColor="text1"/>
          <w:sz w:val="24"/>
          <w:szCs w:val="24"/>
          <w14:textFill>
            <w14:solidFill>
              <w14:schemeClr w14:val="tx1"/>
            </w14:solidFill>
          </w14:textFill>
        </w:rPr>
      </w:pP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r>
        <w:rPr>
          <w:rFonts w:ascii="Bookman Old Style" w:hAnsi="Bookman Old Style" w:eastAsia="Arial" w:cs="Tahoma"/>
          <w:bCs/>
          <w:color w:val="000000" w:themeColor="text1"/>
          <w:sz w:val="24"/>
          <w:szCs w:val="24"/>
          <w14:textFill>
            <w14:solidFill>
              <w14:schemeClr w14:val="tx1"/>
            </w14:solidFill>
          </w14:textFill>
        </w:rPr>
        <w:t>Kabupaten Kepulauan Selayar Tahun 2016-2020</w:t>
      </w:r>
    </w:p>
    <w:p>
      <w:pPr>
        <w:spacing w:after="0" w:line="0" w:lineRule="atLeast"/>
        <w:ind w:left="2260"/>
        <w:rPr>
          <w:rFonts w:ascii="Bookman Old Style" w:hAnsi="Bookman Old Style" w:eastAsia="Arial" w:cs="Tahoma"/>
          <w:bCs/>
          <w:color w:val="000000" w:themeColor="text1"/>
          <w:sz w:val="24"/>
          <w:szCs w:val="24"/>
          <w14:textFill>
            <w14:solidFill>
              <w14:schemeClr w14:val="tx1"/>
            </w14:solidFill>
          </w14:textFill>
        </w:rPr>
      </w:pPr>
    </w:p>
    <w:p>
      <w:pPr>
        <w:spacing w:after="0" w:line="20" w:lineRule="exact"/>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Calibri" w:cs="Tahoma"/>
          <w:color w:val="000000" w:themeColor="text1"/>
          <w:szCs w:val="24"/>
          <w14:textFill>
            <w14:solidFill>
              <w14:schemeClr w14:val="tx1"/>
            </w14:solidFill>
          </w14:textFill>
        </w:rPr>
        <mc:AlternateContent>
          <mc:Choice Requires="wps">
            <w:drawing>
              <wp:anchor distT="0" distB="0" distL="114300" distR="114300" simplePos="0" relativeHeight="251676672" behindDoc="1" locked="0" layoutInCell="1" allowOverlap="1">
                <wp:simplePos x="0" y="0"/>
                <wp:positionH relativeFrom="column">
                  <wp:posOffset>303530</wp:posOffset>
                </wp:positionH>
                <wp:positionV relativeFrom="paragraph">
                  <wp:posOffset>28575</wp:posOffset>
                </wp:positionV>
                <wp:extent cx="12700" cy="12700"/>
                <wp:effectExtent l="0" t="0" r="0" b="0"/>
                <wp:wrapNone/>
                <wp:docPr id="613213829" name="Rectangle 21"/>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21" o:spid="_x0000_s1026" o:spt="1" style="position:absolute;left:0pt;margin-left:23.9pt;margin-top:2.25pt;height:1pt;width:1pt;z-index:-251639808;mso-width-relative:page;mso-height-relative:page;" fillcolor="#000000" filled="t" stroked="t" coordsize="21600,21600" o:gfxdata="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ZGWFvTAAAA&#10;BQEAAA8AAAAAAAAAAQAgAAAAIgAAAGRycy9kb3ducmV2LnhtbFBLAQIUABQAAAAIAIdO4kDRpCa5&#10;IgIAAGkEAAAOAAAAAAAAAAEAIAAAACIBAABkcnMvZTJvRG9jLnhtbFBLBQYAAAAABgAGAFkBAAC2&#10;BQ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eastAsia="Calibri" w:cs="Tahoma"/>
          <w:color w:val="000000" w:themeColor="text1"/>
          <w:szCs w:val="24"/>
          <w14:textFill>
            <w14:solidFill>
              <w14:schemeClr w14:val="tx1"/>
            </w14:solidFill>
          </w14:textFill>
        </w:rPr>
        <mc:AlternateContent>
          <mc:Choice Requires="wps">
            <w:drawing>
              <wp:anchor distT="0" distB="0" distL="114300" distR="114300" simplePos="0" relativeHeight="251677696" behindDoc="1" locked="0" layoutInCell="1" allowOverlap="1">
                <wp:simplePos x="0" y="0"/>
                <wp:positionH relativeFrom="column">
                  <wp:posOffset>575310</wp:posOffset>
                </wp:positionH>
                <wp:positionV relativeFrom="paragraph">
                  <wp:posOffset>29210</wp:posOffset>
                </wp:positionV>
                <wp:extent cx="12700" cy="12065"/>
                <wp:effectExtent l="3810" t="635" r="2540" b="0"/>
                <wp:wrapNone/>
                <wp:docPr id="1339085835" name="Rectangle 20"/>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20" o:spid="_x0000_s1026" o:spt="1" style="position:absolute;left:0pt;margin-left:45.3pt;margin-top:2.3pt;height:0.95pt;width:1pt;z-index:-251638784;mso-width-relative:page;mso-height-relative:page;" fillcolor="#000000" filled="t" stroked="t" coordsize="21600,21600" o:gfxdata="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rgcT0wAAAAUBAAAPAAAAAAAAAAEAIAAAACIAAABkcnMvZG93bnJldi54bWxQSwECFAAUAAAACACH&#10;TuJAOWI06CkCAABqBAAADgAAAAAAAAABACAAAAAiAQAAZHJzL2Uyb0RvYy54bWxQSwUGAAAAAAYA&#10;BgBZAQAAvQU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eastAsia="Calibri" w:cs="Tahoma"/>
          <w:color w:val="000000" w:themeColor="text1"/>
          <w:szCs w:val="24"/>
          <w14:textFill>
            <w14:solidFill>
              <w14:schemeClr w14:val="tx1"/>
            </w14:solidFill>
          </w14:textFill>
        </w:rPr>
        <mc:AlternateContent>
          <mc:Choice Requires="wps">
            <w:drawing>
              <wp:anchor distT="0" distB="0" distL="114300" distR="114300" simplePos="0" relativeHeight="251678720" behindDoc="1" locked="0" layoutInCell="1" allowOverlap="1">
                <wp:simplePos x="0" y="0"/>
                <wp:positionH relativeFrom="column">
                  <wp:posOffset>2374265</wp:posOffset>
                </wp:positionH>
                <wp:positionV relativeFrom="paragraph">
                  <wp:posOffset>29210</wp:posOffset>
                </wp:positionV>
                <wp:extent cx="12700" cy="12065"/>
                <wp:effectExtent l="2540" t="635" r="3810" b="0"/>
                <wp:wrapNone/>
                <wp:docPr id="1127088033" name="Rectangle 19"/>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9" o:spid="_x0000_s1026" o:spt="1" style="position:absolute;left:0pt;margin-left:186.95pt;margin-top:2.3pt;height:0.95pt;width:1pt;z-index:-251637760;mso-width-relative:page;mso-height-relative:page;" fillcolor="#000000" filled="t" stroked="t" coordsize="21600,21600" o:gfxdata="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z/I&#10;r9UAAAAHAQAADwAAAAAAAAABACAAAAAiAAAAZHJzL2Rvd25yZXYueG1sUEsBAhQAFAAAAAgAh07i&#10;QNJRhOklAgAAagQAAA4AAAAAAAAAAQAgAAAAJAEAAGRycy9lMm9Eb2MueG1sUEsFBgAAAAAGAAYA&#10;WQEAALsFAAAAAA==&#10;">
                <v:fill on="t" focussize="0,0"/>
                <v:stroke color="#FFFFFF" miterlimit="8" joinstyle="miter"/>
                <v:imagedata o:title=""/>
                <o:lock v:ext="edit" aspectratio="f"/>
                <v:textbox>
                  <w:txbxContent>
                    <w:p>
                      <w:pPr>
                        <w:jc w:val="center"/>
                      </w:pPr>
                    </w:p>
                  </w:txbxContent>
                </v:textbox>
              </v:rect>
            </w:pict>
          </mc:Fallback>
        </mc:AlternateContent>
      </w:r>
      <w:r>
        <w:rPr>
          <w:rFonts w:ascii="Bookman Old Style" w:hAnsi="Bookman Old Style" w:eastAsia="Calibri" w:cs="Tahoma"/>
          <w:color w:val="000000" w:themeColor="text1"/>
          <w:szCs w:val="24"/>
          <w14:textFill>
            <w14:solidFill>
              <w14:schemeClr w14:val="tx1"/>
            </w14:solidFill>
          </w14:textFill>
        </w:rPr>
        <mc:AlternateContent>
          <mc:Choice Requires="wps">
            <w:drawing>
              <wp:anchor distT="0" distB="0" distL="114300" distR="114300" simplePos="0" relativeHeight="251679744" behindDoc="1" locked="0" layoutInCell="1" allowOverlap="1">
                <wp:simplePos x="0" y="0"/>
                <wp:positionH relativeFrom="column">
                  <wp:posOffset>5977255</wp:posOffset>
                </wp:positionH>
                <wp:positionV relativeFrom="paragraph">
                  <wp:posOffset>28575</wp:posOffset>
                </wp:positionV>
                <wp:extent cx="12700" cy="12700"/>
                <wp:effectExtent l="0" t="0" r="1270" b="0"/>
                <wp:wrapNone/>
                <wp:docPr id="1489493051" name="Rectangle 18"/>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ln>
                      </wps:spPr>
                      <wps:txbx>
                        <w:txbxContent>
                          <w:p>
                            <w:pPr>
                              <w:jc w:val="center"/>
                            </w:pPr>
                          </w:p>
                        </w:txbxContent>
                      </wps:txbx>
                      <wps:bodyPr rot="0" vert="horz" wrap="square" lIns="91440" tIns="45720" rIns="91440" bIns="45720" anchor="t" anchorCtr="0" upright="1"/>
                    </wps:wsp>
                  </a:graphicData>
                </a:graphic>
              </wp:anchor>
            </w:drawing>
          </mc:Choice>
          <mc:Fallback>
            <w:pict>
              <v:rect id="Rectangle 18" o:spid="_x0000_s1026" o:spt="1" style="position:absolute;left:0pt;margin-left:470.65pt;margin-top:2.25pt;height:1pt;width:1pt;z-index:-251636736;mso-width-relative:page;mso-height-relative:page;" fillcolor="#000000" filled="t" stroked="t" coordsize="21600,21600" o:gfxdata="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9NRUtUA&#10;AAAHAQAADwAAAAAAAAABACAAAAAiAAAAZHJzL2Rvd25yZXYueG1sUEsBAhQAFAAAAAgAh07iQLTG&#10;5GgiAgAAagQAAA4AAAAAAAAAAQAgAAAAJAEAAGRycy9lMm9Eb2MueG1sUEsFBgAAAAAGAAYAWQEA&#10;ALgFAAAAAA==&#10;">
                <v:fill on="t" focussize="0,0"/>
                <v:stroke color="#FFFFFF" miterlimit="8" joinstyle="miter"/>
                <v:imagedata o:title=""/>
                <o:lock v:ext="edit" aspectratio="f"/>
                <v:textbox>
                  <w:txbxContent>
                    <w:p>
                      <w:pPr>
                        <w:jc w:val="center"/>
                      </w:pPr>
                    </w:p>
                  </w:txbxContent>
                </v:textbox>
              </v:rect>
            </w:pict>
          </mc:Fallback>
        </mc:AlternateContent>
      </w:r>
    </w:p>
    <w:p>
      <w:pPr>
        <w:spacing w:after="0" w:line="10" w:lineRule="exact"/>
        <w:rPr>
          <w:rFonts w:ascii="Bookman Old Style" w:hAnsi="Bookman Old Style" w:eastAsia="Times New Roman" w:cs="Tahoma"/>
          <w:color w:val="000000" w:themeColor="text1"/>
          <w:sz w:val="24"/>
          <w:szCs w:val="24"/>
          <w14:textFill>
            <w14:solidFill>
              <w14:schemeClr w14:val="tx1"/>
            </w14:solidFill>
          </w14:textFill>
        </w:rPr>
      </w:pPr>
    </w:p>
    <w:tbl>
      <w:tblPr>
        <w:tblStyle w:val="4"/>
        <w:tblpPr w:leftFromText="180" w:rightFromText="180" w:vertAnchor="text" w:tblpY="1"/>
        <w:tblOverlap w:val="never"/>
        <w:tblW w:w="8960" w:type="dxa"/>
        <w:tblInd w:w="0" w:type="dxa"/>
        <w:tblLayout w:type="fixed"/>
        <w:tblCellMar>
          <w:top w:w="0" w:type="dxa"/>
          <w:left w:w="0" w:type="dxa"/>
          <w:bottom w:w="0" w:type="dxa"/>
          <w:right w:w="0" w:type="dxa"/>
        </w:tblCellMar>
      </w:tblPr>
      <w:tblGrid>
        <w:gridCol w:w="420"/>
        <w:gridCol w:w="40"/>
        <w:gridCol w:w="2820"/>
        <w:gridCol w:w="1140"/>
        <w:gridCol w:w="1140"/>
        <w:gridCol w:w="1120"/>
        <w:gridCol w:w="1140"/>
        <w:gridCol w:w="1140"/>
      </w:tblGrid>
      <w:tr>
        <w:tblPrEx>
          <w:tblCellMar>
            <w:top w:w="0" w:type="dxa"/>
            <w:left w:w="0" w:type="dxa"/>
            <w:bottom w:w="0" w:type="dxa"/>
            <w:right w:w="0" w:type="dxa"/>
          </w:tblCellMar>
        </w:tblPrEx>
        <w:trPr>
          <w:trHeight w:val="176" w:hRule="atLeast"/>
        </w:trPr>
        <w:tc>
          <w:tcPr>
            <w:tcW w:w="420" w:type="dxa"/>
            <w:vMerge w:val="restart"/>
            <w:tcBorders>
              <w:top w:val="single" w:color="auto" w:sz="8" w:space="0"/>
              <w:left w:val="single" w:color="auto" w:sz="8" w:space="0"/>
              <w:right w:val="nil"/>
            </w:tcBorders>
            <w:shd w:val="clear" w:color="auto" w:fill="95B3D7"/>
            <w:vAlign w:val="center"/>
          </w:tcPr>
          <w:p>
            <w:pPr>
              <w:spacing w:after="0" w:line="240" w:lineRule="auto"/>
              <w:ind w:left="60"/>
              <w:jc w:val="both"/>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No</w:t>
            </w:r>
          </w:p>
        </w:tc>
        <w:tc>
          <w:tcPr>
            <w:tcW w:w="40" w:type="dxa"/>
            <w:tcBorders>
              <w:top w:val="single" w:color="auto" w:sz="8" w:space="0"/>
              <w:left w:val="nil"/>
              <w:bottom w:val="nil"/>
              <w:right w:val="single" w:color="auto" w:sz="8" w:space="0"/>
            </w:tcBorders>
            <w:vAlign w:val="center"/>
          </w:tcPr>
          <w:p>
            <w:pPr>
              <w:spacing w:after="0" w:line="240" w:lineRule="auto"/>
              <w:jc w:val="both"/>
              <w:rPr>
                <w:rFonts w:ascii="Bookman Old Style" w:hAnsi="Bookman Old Style" w:eastAsia="Times New Roman" w:cs="Tahoma"/>
                <w:color w:val="000000" w:themeColor="text1"/>
                <w:sz w:val="24"/>
                <w:szCs w:val="24"/>
                <w14:textFill>
                  <w14:solidFill>
                    <w14:schemeClr w14:val="tx1"/>
                  </w14:solidFill>
                </w14:textFill>
              </w:rPr>
            </w:pPr>
          </w:p>
        </w:tc>
        <w:tc>
          <w:tcPr>
            <w:tcW w:w="2820" w:type="dxa"/>
            <w:vMerge w:val="restart"/>
            <w:tcBorders>
              <w:top w:val="single" w:color="auto" w:sz="8" w:space="0"/>
              <w:left w:val="nil"/>
              <w:right w:val="single" w:color="auto" w:sz="8" w:space="0"/>
            </w:tcBorders>
            <w:shd w:val="clear" w:color="auto" w:fill="95B3D7"/>
            <w:vAlign w:val="center"/>
          </w:tcPr>
          <w:p>
            <w:pPr>
              <w:spacing w:after="0" w:line="240" w:lineRule="auto"/>
              <w:ind w:left="760"/>
              <w:jc w:val="both"/>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Kecamatan</w:t>
            </w:r>
          </w:p>
        </w:tc>
        <w:tc>
          <w:tcPr>
            <w:tcW w:w="5680" w:type="dxa"/>
            <w:gridSpan w:val="5"/>
            <w:vMerge w:val="restart"/>
            <w:tcBorders>
              <w:top w:val="single" w:color="auto" w:sz="8" w:space="0"/>
              <w:left w:val="nil"/>
              <w:right w:val="single" w:color="auto" w:sz="8" w:space="0"/>
            </w:tcBorders>
            <w:shd w:val="clear" w:color="auto" w:fill="95B3D7"/>
            <w:vAlign w:val="center"/>
          </w:tcPr>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Tahun</w:t>
            </w:r>
          </w:p>
        </w:tc>
      </w:tr>
      <w:tr>
        <w:tblPrEx>
          <w:tblCellMar>
            <w:top w:w="0" w:type="dxa"/>
            <w:left w:w="0" w:type="dxa"/>
            <w:bottom w:w="0" w:type="dxa"/>
            <w:right w:w="0" w:type="dxa"/>
          </w:tblCellMar>
        </w:tblPrEx>
        <w:trPr>
          <w:trHeight w:val="60" w:hRule="atLeast"/>
        </w:trPr>
        <w:tc>
          <w:tcPr>
            <w:tcW w:w="420" w:type="dxa"/>
            <w:vMerge w:val="continue"/>
            <w:tcBorders>
              <w:left w:val="single" w:color="auto" w:sz="8" w:space="0"/>
              <w:right w:val="nil"/>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vMerge w:val="continue"/>
            <w:tcBorders>
              <w:left w:val="nil"/>
              <w:right w:val="single" w:color="auto" w:sz="8" w:space="0"/>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5680" w:type="dxa"/>
            <w:gridSpan w:val="5"/>
            <w:vMerge w:val="continue"/>
            <w:tcBorders>
              <w:left w:val="nil"/>
              <w:bottom w:val="single" w:color="auto" w:sz="8" w:space="0"/>
              <w:right w:val="single" w:color="auto" w:sz="8" w:space="0"/>
            </w:tcBorders>
            <w:shd w:val="clear" w:color="auto" w:fill="95B3D7"/>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105" w:hRule="atLeast"/>
        </w:trPr>
        <w:tc>
          <w:tcPr>
            <w:tcW w:w="420" w:type="dxa"/>
            <w:vMerge w:val="continue"/>
            <w:tcBorders>
              <w:left w:val="single" w:color="auto" w:sz="8" w:space="0"/>
              <w:right w:val="nil"/>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40" w:type="dxa"/>
            <w:tcBorders>
              <w:top w:val="nil"/>
              <w:left w:val="nil"/>
              <w:bottom w:val="nil"/>
              <w:right w:val="single" w:color="auto"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vMerge w:val="continue"/>
            <w:tcBorders>
              <w:left w:val="nil"/>
              <w:right w:val="single" w:color="auto" w:sz="8" w:space="0"/>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2016</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40" w:lineRule="auto"/>
              <w:jc w:val="center"/>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2017</w:t>
            </w:r>
          </w:p>
        </w:tc>
        <w:tc>
          <w:tcPr>
            <w:tcW w:w="112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40" w:lineRule="auto"/>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2018</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40" w:lineRule="auto"/>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2019</w:t>
            </w:r>
          </w:p>
        </w:tc>
        <w:tc>
          <w:tcPr>
            <w:tcW w:w="1140" w:type="dxa"/>
            <w:vMerge w:val="restart"/>
            <w:tcBorders>
              <w:top w:val="single" w:color="95B3D7" w:sz="8" w:space="0"/>
              <w:left w:val="nil"/>
              <w:bottom w:val="single" w:color="auto" w:sz="8" w:space="0"/>
              <w:right w:val="single" w:color="auto" w:sz="8" w:space="0"/>
            </w:tcBorders>
            <w:shd w:val="clear" w:color="auto" w:fill="95B3D7"/>
            <w:vAlign w:val="center"/>
          </w:tcPr>
          <w:p>
            <w:pPr>
              <w:spacing w:after="0" w:line="240" w:lineRule="auto"/>
              <w:jc w:val="center"/>
              <w:rPr>
                <w:rFonts w:ascii="Bookman Old Style" w:hAnsi="Bookman Old Style" w:eastAsia="Arial" w:cs="Tahoma"/>
                <w:b/>
                <w:color w:val="000000" w:themeColor="text1"/>
                <w:w w:val="97"/>
                <w:sz w:val="24"/>
                <w:szCs w:val="24"/>
                <w14:textFill>
                  <w14:solidFill>
                    <w14:schemeClr w14:val="tx1"/>
                  </w14:solidFill>
                </w14:textFill>
              </w:rPr>
            </w:pPr>
            <w:r>
              <w:rPr>
                <w:rFonts w:ascii="Bookman Old Style" w:hAnsi="Bookman Old Style" w:eastAsia="Arial" w:cs="Tahoma"/>
                <w:b/>
                <w:color w:val="000000" w:themeColor="text1"/>
                <w:w w:val="97"/>
                <w:sz w:val="24"/>
                <w:szCs w:val="24"/>
                <w14:textFill>
                  <w14:solidFill>
                    <w14:schemeClr w14:val="tx1"/>
                  </w14:solidFill>
                </w14:textFill>
              </w:rPr>
              <w:t>2020</w:t>
            </w:r>
          </w:p>
        </w:tc>
      </w:tr>
      <w:tr>
        <w:tblPrEx>
          <w:tblCellMar>
            <w:top w:w="0" w:type="dxa"/>
            <w:left w:w="0" w:type="dxa"/>
            <w:bottom w:w="0" w:type="dxa"/>
            <w:right w:w="0" w:type="dxa"/>
          </w:tblCellMar>
        </w:tblPrEx>
        <w:trPr>
          <w:trHeight w:val="163" w:hRule="atLeast"/>
        </w:trPr>
        <w:tc>
          <w:tcPr>
            <w:tcW w:w="420" w:type="dxa"/>
            <w:vMerge w:val="continue"/>
            <w:tcBorders>
              <w:left w:val="single" w:color="auto" w:sz="8" w:space="0"/>
              <w:bottom w:val="single" w:color="000000" w:sz="8" w:space="0"/>
              <w:right w:val="nil"/>
            </w:tcBorders>
            <w:shd w:val="clear" w:color="auto" w:fill="95B3D7"/>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40" w:type="dxa"/>
            <w:tcBorders>
              <w:top w:val="nil"/>
              <w:left w:val="nil"/>
              <w:bottom w:val="single" w:color="000000" w:sz="8" w:space="0"/>
              <w:right w:val="single" w:color="auto"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vMerge w:val="continue"/>
            <w:tcBorders>
              <w:left w:val="nil"/>
              <w:bottom w:val="single" w:color="000000" w:sz="8" w:space="0"/>
              <w:right w:val="single" w:color="auto" w:sz="8" w:space="0"/>
            </w:tcBorders>
            <w:shd w:val="clear" w:color="auto" w:fill="95B3D7"/>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1140" w:type="dxa"/>
            <w:vMerge w:val="continue"/>
            <w:tcBorders>
              <w:top w:val="single" w:color="95B3D7" w:sz="8" w:space="0"/>
              <w:left w:val="nil"/>
              <w:bottom w:val="single" w:color="000000" w:sz="8" w:space="0"/>
              <w:right w:val="single" w:color="auto" w:sz="8" w:space="0"/>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1140" w:type="dxa"/>
            <w:vMerge w:val="continue"/>
            <w:tcBorders>
              <w:top w:val="single" w:color="95B3D7" w:sz="8" w:space="0"/>
              <w:left w:val="nil"/>
              <w:bottom w:val="single" w:color="000000" w:sz="8" w:space="0"/>
              <w:right w:val="single" w:color="auto" w:sz="8" w:space="0"/>
            </w:tcBorders>
            <w:vAlign w:val="center"/>
          </w:tcPr>
          <w:p>
            <w:pPr>
              <w:spacing w:after="0" w:line="240" w:lineRule="auto"/>
              <w:rPr>
                <w:rFonts w:ascii="Bookman Old Style" w:hAnsi="Bookman Old Style" w:eastAsia="Arial" w:cs="Tahoma"/>
                <w:b/>
                <w:color w:val="000000" w:themeColor="text1"/>
                <w:sz w:val="24"/>
                <w:szCs w:val="24"/>
                <w14:textFill>
                  <w14:solidFill>
                    <w14:schemeClr w14:val="tx1"/>
                  </w14:solidFill>
                </w14:textFill>
              </w:rPr>
            </w:pPr>
          </w:p>
        </w:tc>
        <w:tc>
          <w:tcPr>
            <w:tcW w:w="1120" w:type="dxa"/>
            <w:vMerge w:val="continue"/>
            <w:tcBorders>
              <w:top w:val="single" w:color="95B3D7" w:sz="8" w:space="0"/>
              <w:left w:val="nil"/>
              <w:bottom w:val="single" w:color="000000" w:sz="8" w:space="0"/>
              <w:right w:val="single" w:color="auto" w:sz="8" w:space="0"/>
            </w:tcBorders>
            <w:vAlign w:val="center"/>
          </w:tcPr>
          <w:p>
            <w:pPr>
              <w:spacing w:after="0" w:line="240" w:lineRule="auto"/>
              <w:rPr>
                <w:rFonts w:ascii="Bookman Old Style" w:hAnsi="Bookman Old Style" w:eastAsia="Arial" w:cs="Tahoma"/>
                <w:b/>
                <w:color w:val="000000" w:themeColor="text1"/>
                <w:w w:val="97"/>
                <w:sz w:val="24"/>
                <w:szCs w:val="24"/>
                <w14:textFill>
                  <w14:solidFill>
                    <w14:schemeClr w14:val="tx1"/>
                  </w14:solidFill>
                </w14:textFill>
              </w:rPr>
            </w:pPr>
          </w:p>
        </w:tc>
        <w:tc>
          <w:tcPr>
            <w:tcW w:w="1140" w:type="dxa"/>
            <w:vMerge w:val="continue"/>
            <w:tcBorders>
              <w:top w:val="single" w:color="95B3D7" w:sz="8" w:space="0"/>
              <w:left w:val="nil"/>
              <w:bottom w:val="single" w:color="000000" w:sz="8" w:space="0"/>
              <w:right w:val="single" w:color="auto" w:sz="8" w:space="0"/>
            </w:tcBorders>
            <w:vAlign w:val="center"/>
          </w:tcPr>
          <w:p>
            <w:pPr>
              <w:spacing w:after="0" w:line="240" w:lineRule="auto"/>
              <w:rPr>
                <w:rFonts w:ascii="Bookman Old Style" w:hAnsi="Bookman Old Style" w:eastAsia="Arial" w:cs="Tahoma"/>
                <w:b/>
                <w:color w:val="000000" w:themeColor="text1"/>
                <w:w w:val="97"/>
                <w:sz w:val="24"/>
                <w:szCs w:val="24"/>
                <w14:textFill>
                  <w14:solidFill>
                    <w14:schemeClr w14:val="tx1"/>
                  </w14:solidFill>
                </w14:textFill>
              </w:rPr>
            </w:pPr>
          </w:p>
        </w:tc>
        <w:tc>
          <w:tcPr>
            <w:tcW w:w="1140" w:type="dxa"/>
            <w:vMerge w:val="continue"/>
            <w:tcBorders>
              <w:top w:val="single" w:color="95B3D7" w:sz="8" w:space="0"/>
              <w:left w:val="nil"/>
              <w:bottom w:val="single" w:color="000000" w:sz="8" w:space="0"/>
              <w:right w:val="single" w:color="auto" w:sz="8" w:space="0"/>
            </w:tcBorders>
            <w:vAlign w:val="center"/>
          </w:tcPr>
          <w:p>
            <w:pPr>
              <w:spacing w:after="0" w:line="240" w:lineRule="auto"/>
              <w:rPr>
                <w:rFonts w:ascii="Bookman Old Style" w:hAnsi="Bookman Old Style" w:eastAsia="Arial" w:cs="Tahoma"/>
                <w:b/>
                <w:color w:val="000000" w:themeColor="text1"/>
                <w:w w:val="97"/>
                <w:sz w:val="24"/>
                <w:szCs w:val="24"/>
                <w14:textFill>
                  <w14:solidFill>
                    <w14:schemeClr w14:val="tx1"/>
                  </w14:solidFill>
                </w14:textFill>
              </w:rPr>
            </w:pPr>
          </w:p>
        </w:tc>
      </w:tr>
      <w:tr>
        <w:tblPrEx>
          <w:tblCellMar>
            <w:top w:w="0" w:type="dxa"/>
            <w:left w:w="0" w:type="dxa"/>
            <w:bottom w:w="0" w:type="dxa"/>
            <w:right w:w="0" w:type="dxa"/>
          </w:tblCellMar>
        </w:tblPrEx>
        <w:trPr>
          <w:trHeight w:val="277"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Pasimarannu</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r>
      <w:tr>
        <w:tblPrEx>
          <w:tblCellMar>
            <w:top w:w="0" w:type="dxa"/>
            <w:left w:w="0" w:type="dxa"/>
            <w:bottom w:w="0" w:type="dxa"/>
            <w:right w:w="0" w:type="dxa"/>
          </w:tblCellMar>
        </w:tblPrEx>
        <w:trPr>
          <w:trHeight w:val="266"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Pasilambena</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r>
      <w:tr>
        <w:tblPrEx>
          <w:tblCellMar>
            <w:top w:w="0" w:type="dxa"/>
            <w:left w:w="0" w:type="dxa"/>
            <w:bottom w:w="0" w:type="dxa"/>
            <w:right w:w="0" w:type="dxa"/>
          </w:tblCellMar>
        </w:tblPrEx>
        <w:trPr>
          <w:trHeight w:val="262"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r>
      <w:tr>
        <w:tblPrEx>
          <w:tblCellMar>
            <w:top w:w="0" w:type="dxa"/>
            <w:left w:w="0" w:type="dxa"/>
            <w:bottom w:w="0" w:type="dxa"/>
            <w:right w:w="0" w:type="dxa"/>
          </w:tblCellMar>
        </w:tblPrEx>
        <w:trPr>
          <w:trHeight w:val="262"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4</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Taka bonerate</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r>
      <w:tr>
        <w:tblPrEx>
          <w:tblCellMar>
            <w:top w:w="0" w:type="dxa"/>
            <w:left w:w="0" w:type="dxa"/>
            <w:bottom w:w="0" w:type="dxa"/>
            <w:right w:w="0" w:type="dxa"/>
          </w:tblCellMar>
        </w:tblPrEx>
        <w:trPr>
          <w:trHeight w:val="263"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Pasimasunggu Timur</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r>
      <w:tr>
        <w:tblPrEx>
          <w:tblCellMar>
            <w:top w:w="0" w:type="dxa"/>
            <w:left w:w="0" w:type="dxa"/>
            <w:bottom w:w="0" w:type="dxa"/>
            <w:right w:w="0" w:type="dxa"/>
          </w:tblCellMar>
        </w:tblPrEx>
        <w:trPr>
          <w:trHeight w:val="266"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Bontosikuyu</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5</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5</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5</w:t>
            </w:r>
          </w:p>
        </w:tc>
      </w:tr>
      <w:tr>
        <w:tblPrEx>
          <w:tblCellMar>
            <w:top w:w="0" w:type="dxa"/>
            <w:left w:w="0" w:type="dxa"/>
            <w:bottom w:w="0" w:type="dxa"/>
            <w:right w:w="0" w:type="dxa"/>
          </w:tblCellMar>
        </w:tblPrEx>
        <w:trPr>
          <w:trHeight w:val="266"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7</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Bontoharu</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1</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1</w:t>
            </w:r>
          </w:p>
        </w:tc>
      </w:tr>
      <w:tr>
        <w:tblPrEx>
          <w:tblCellMar>
            <w:top w:w="0" w:type="dxa"/>
            <w:left w:w="0" w:type="dxa"/>
            <w:bottom w:w="0" w:type="dxa"/>
            <w:right w:w="0" w:type="dxa"/>
          </w:tblCellMar>
        </w:tblPrEx>
        <w:trPr>
          <w:trHeight w:val="266"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8</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Benteng</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r>
      <w:tr>
        <w:tblPrEx>
          <w:tblCellMar>
            <w:top w:w="0" w:type="dxa"/>
            <w:left w:w="0" w:type="dxa"/>
            <w:bottom w:w="0" w:type="dxa"/>
            <w:right w:w="0" w:type="dxa"/>
          </w:tblCellMar>
        </w:tblPrEx>
        <w:trPr>
          <w:trHeight w:val="262"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9</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Bontomanai</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r>
      <w:tr>
        <w:tblPrEx>
          <w:tblCellMar>
            <w:top w:w="0" w:type="dxa"/>
            <w:left w:w="0" w:type="dxa"/>
            <w:bottom w:w="0" w:type="dxa"/>
            <w:right w:w="0" w:type="dxa"/>
          </w:tblCellMar>
        </w:tblPrEx>
        <w:trPr>
          <w:trHeight w:val="262"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10</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Bontomatene</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6</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6</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6</w:t>
            </w:r>
          </w:p>
        </w:tc>
      </w:tr>
      <w:tr>
        <w:tblPrEx>
          <w:tblCellMar>
            <w:top w:w="0" w:type="dxa"/>
            <w:left w:w="0" w:type="dxa"/>
            <w:bottom w:w="0" w:type="dxa"/>
            <w:right w:w="0" w:type="dxa"/>
          </w:tblCellMar>
        </w:tblPrEx>
        <w:trPr>
          <w:trHeight w:val="262" w:hRule="atLeast"/>
        </w:trPr>
        <w:tc>
          <w:tcPr>
            <w:tcW w:w="4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97"/>
                <w:sz w:val="24"/>
                <w:szCs w:val="24"/>
                <w14:textFill>
                  <w14:solidFill>
                    <w14:schemeClr w14:val="tx1"/>
                  </w14:solidFill>
                </w14:textFill>
              </w:rPr>
            </w:pPr>
            <w:r>
              <w:rPr>
                <w:rFonts w:ascii="Bookman Old Style" w:hAnsi="Bookman Old Style" w:eastAsia="Arial" w:cs="Tahoma"/>
                <w:color w:val="000000" w:themeColor="text1"/>
                <w:w w:val="97"/>
                <w:sz w:val="24"/>
                <w:szCs w:val="24"/>
                <w14:textFill>
                  <w14:solidFill>
                    <w14:schemeClr w14:val="tx1"/>
                  </w14:solidFill>
                </w14:textFill>
              </w:rPr>
              <w:t>11</w:t>
            </w:r>
          </w:p>
        </w:tc>
        <w:tc>
          <w:tcPr>
            <w:tcW w:w="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c>
        <w:tc>
          <w:tcPr>
            <w:tcW w:w="28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20"/>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Buki</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sz w:val="24"/>
                <w:szCs w:val="24"/>
                <w14:textFill>
                  <w14:solidFill>
                    <w14:schemeClr w14:val="tx1"/>
                  </w14:solidFill>
                </w14:textFill>
              </w:rPr>
            </w:pPr>
            <w:r>
              <w:rPr>
                <w:rFonts w:ascii="Bookman Old Style" w:hAnsi="Bookman Old Style" w:eastAsia="Arial" w:cs="Tahoma"/>
                <w:color w:val="000000" w:themeColor="text1"/>
                <w:sz w:val="24"/>
                <w:szCs w:val="24"/>
                <w14:textFill>
                  <w14:solidFill>
                    <w14:schemeClr w14:val="tx1"/>
                  </w14:solidFill>
                </w14:textFill>
              </w:rPr>
              <w:t>2</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3</w:t>
            </w:r>
          </w:p>
        </w:tc>
        <w:tc>
          <w:tcPr>
            <w:tcW w:w="114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jc w:val="center"/>
              <w:rPr>
                <w:rFonts w:ascii="Bookman Old Style" w:hAnsi="Bookman Old Style" w:eastAsia="Arial" w:cs="Tahoma"/>
                <w:color w:val="000000" w:themeColor="text1"/>
                <w:w w:val="89"/>
                <w:sz w:val="24"/>
                <w:szCs w:val="24"/>
                <w14:textFill>
                  <w14:solidFill>
                    <w14:schemeClr w14:val="tx1"/>
                  </w14:solidFill>
                </w14:textFill>
              </w:rPr>
            </w:pPr>
            <w:r>
              <w:rPr>
                <w:rFonts w:ascii="Bookman Old Style" w:hAnsi="Bookman Old Style" w:eastAsia="Arial" w:cs="Tahoma"/>
                <w:color w:val="000000" w:themeColor="text1"/>
                <w:w w:val="89"/>
                <w:sz w:val="24"/>
                <w:szCs w:val="24"/>
                <w14:textFill>
                  <w14:solidFill>
                    <w14:schemeClr w14:val="tx1"/>
                  </w14:solidFill>
                </w14:textFill>
              </w:rPr>
              <w:t>2</w:t>
            </w:r>
          </w:p>
        </w:tc>
      </w:tr>
      <w:tr>
        <w:tblPrEx>
          <w:tblCellMar>
            <w:top w:w="0" w:type="dxa"/>
            <w:left w:w="0" w:type="dxa"/>
            <w:bottom w:w="0" w:type="dxa"/>
            <w:right w:w="0" w:type="dxa"/>
          </w:tblCellMar>
        </w:tblPrEx>
        <w:trPr>
          <w:trHeight w:val="865" w:hRule="atLeast"/>
        </w:trPr>
        <w:tc>
          <w:tcPr>
            <w:tcW w:w="3280" w:type="dxa"/>
            <w:gridSpan w:val="3"/>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60"/>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Cakupan Bina Kelompok</w:t>
            </w:r>
          </w:p>
          <w:p>
            <w:pPr>
              <w:spacing w:after="0" w:line="240" w:lineRule="auto"/>
              <w:ind w:left="160"/>
              <w:rPr>
                <w:rFonts w:ascii="Bookman Old Style" w:hAnsi="Bookman Old Style" w:eastAsia="Arial" w:cs="Tahoma"/>
                <w:b/>
                <w:color w:val="000000" w:themeColor="text1"/>
                <w:sz w:val="24"/>
                <w:szCs w:val="24"/>
                <w14:textFill>
                  <w14:solidFill>
                    <w14:schemeClr w14:val="tx1"/>
                  </w14:solidFill>
                </w14:textFill>
              </w:rPr>
            </w:pPr>
            <w:r>
              <w:rPr>
                <w:rFonts w:ascii="Bookman Old Style" w:hAnsi="Bookman Old Style" w:eastAsia="Arial" w:cs="Tahoma"/>
                <w:b/>
                <w:color w:val="000000" w:themeColor="text1"/>
                <w:sz w:val="24"/>
                <w:szCs w:val="24"/>
                <w14:textFill>
                  <w14:solidFill>
                    <w14:schemeClr w14:val="tx1"/>
                  </w14:solidFill>
                </w14:textFill>
              </w:rPr>
              <w:t>Pedagang/Usaha Informal</w:t>
            </w:r>
          </w:p>
        </w:tc>
        <w:tc>
          <w:tcPr>
            <w:tcW w:w="1140"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Arial" w:cs="Tahoma"/>
                <w:b/>
                <w:bCs/>
                <w:color w:val="000000" w:themeColor="text1"/>
                <w:w w:val="97"/>
                <w:sz w:val="24"/>
                <w:szCs w:val="24"/>
                <w14:textFill>
                  <w14:solidFill>
                    <w14:schemeClr w14:val="tx1"/>
                  </w14:solidFill>
                </w14:textFill>
              </w:rPr>
            </w:pPr>
            <w:r>
              <w:rPr>
                <w:rFonts w:ascii="Bookman Old Style" w:hAnsi="Bookman Old Style" w:eastAsia="Arial" w:cs="Tahoma"/>
                <w:b/>
                <w:bCs/>
                <w:color w:val="000000" w:themeColor="text1"/>
                <w:w w:val="97"/>
                <w:sz w:val="24"/>
                <w:szCs w:val="24"/>
                <w14:textFill>
                  <w14:solidFill>
                    <w14:schemeClr w14:val="tx1"/>
                  </w14:solidFill>
                </w14:textFill>
              </w:rPr>
              <w:t>28</w:t>
            </w:r>
          </w:p>
        </w:tc>
        <w:tc>
          <w:tcPr>
            <w:tcW w:w="1140"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Arial" w:cs="Tahoma"/>
                <w:b/>
                <w:bCs/>
                <w:color w:val="000000" w:themeColor="text1"/>
                <w:w w:val="97"/>
                <w:sz w:val="24"/>
                <w:szCs w:val="24"/>
                <w14:textFill>
                  <w14:solidFill>
                    <w14:schemeClr w14:val="tx1"/>
                  </w14:solidFill>
                </w14:textFill>
              </w:rPr>
            </w:pPr>
            <w:r>
              <w:rPr>
                <w:rFonts w:ascii="Bookman Old Style" w:hAnsi="Bookman Old Style" w:eastAsia="Arial" w:cs="Tahoma"/>
                <w:b/>
                <w:bCs/>
                <w:color w:val="000000" w:themeColor="text1"/>
                <w:w w:val="97"/>
                <w:sz w:val="24"/>
                <w:szCs w:val="24"/>
                <w14:textFill>
                  <w14:solidFill>
                    <w14:schemeClr w14:val="tx1"/>
                  </w14:solidFill>
                </w14:textFill>
              </w:rPr>
              <w:t>28</w:t>
            </w:r>
          </w:p>
        </w:tc>
        <w:tc>
          <w:tcPr>
            <w:tcW w:w="1120"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Arial" w:cs="Tahoma"/>
                <w:b/>
                <w:bCs/>
                <w:color w:val="000000" w:themeColor="text1"/>
                <w:w w:val="97"/>
                <w:sz w:val="24"/>
                <w:szCs w:val="24"/>
                <w14:textFill>
                  <w14:solidFill>
                    <w14:schemeClr w14:val="tx1"/>
                  </w14:solidFill>
                </w14:textFill>
              </w:rPr>
            </w:pPr>
            <w:r>
              <w:rPr>
                <w:rFonts w:ascii="Bookman Old Style" w:hAnsi="Bookman Old Style" w:eastAsia="Arial" w:cs="Tahoma"/>
                <w:b/>
                <w:bCs/>
                <w:color w:val="000000" w:themeColor="text1"/>
                <w:w w:val="97"/>
                <w:sz w:val="24"/>
                <w:szCs w:val="24"/>
                <w14:textFill>
                  <w14:solidFill>
                    <w14:schemeClr w14:val="tx1"/>
                  </w14:solidFill>
                </w14:textFill>
              </w:rPr>
              <w:t>30</w:t>
            </w:r>
          </w:p>
        </w:tc>
        <w:tc>
          <w:tcPr>
            <w:tcW w:w="1140"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Arial" w:cs="Tahoma"/>
                <w:b/>
                <w:bCs/>
                <w:color w:val="000000" w:themeColor="text1"/>
                <w:sz w:val="24"/>
                <w:szCs w:val="24"/>
                <w14:textFill>
                  <w14:solidFill>
                    <w14:schemeClr w14:val="tx1"/>
                  </w14:solidFill>
                </w14:textFill>
              </w:rPr>
            </w:pPr>
            <w:r>
              <w:rPr>
                <w:rFonts w:ascii="Bookman Old Style" w:hAnsi="Bookman Old Style" w:eastAsia="Arial" w:cs="Tahoma"/>
                <w:b/>
                <w:bCs/>
                <w:color w:val="000000" w:themeColor="text1"/>
                <w:sz w:val="24"/>
                <w:szCs w:val="24"/>
                <w14:textFill>
                  <w14:solidFill>
                    <w14:schemeClr w14:val="tx1"/>
                  </w14:solidFill>
                </w14:textFill>
              </w:rPr>
              <w:t>32</w:t>
            </w:r>
          </w:p>
        </w:tc>
        <w:tc>
          <w:tcPr>
            <w:tcW w:w="1140" w:type="dxa"/>
            <w:tcBorders>
              <w:top w:val="single" w:color="000000" w:sz="8" w:space="0"/>
              <w:left w:val="single" w:color="000000" w:sz="8" w:space="0"/>
              <w:bottom w:val="single" w:color="000000" w:sz="8" w:space="0"/>
              <w:right w:val="single" w:color="000000" w:sz="8" w:space="0"/>
            </w:tcBorders>
            <w:vAlign w:val="center"/>
          </w:tcPr>
          <w:p>
            <w:pPr>
              <w:spacing w:after="0" w:line="240" w:lineRule="auto"/>
              <w:jc w:val="center"/>
              <w:rPr>
                <w:rFonts w:ascii="Bookman Old Style" w:hAnsi="Bookman Old Style" w:eastAsia="Arial" w:cs="Tahoma"/>
                <w:b/>
                <w:bCs/>
                <w:color w:val="000000" w:themeColor="text1"/>
                <w:w w:val="97"/>
                <w:sz w:val="24"/>
                <w:szCs w:val="24"/>
                <w14:textFill>
                  <w14:solidFill>
                    <w14:schemeClr w14:val="tx1"/>
                  </w14:solidFill>
                </w14:textFill>
              </w:rPr>
            </w:pPr>
            <w:r>
              <w:rPr>
                <w:rFonts w:ascii="Bookman Old Style" w:hAnsi="Bookman Old Style" w:eastAsia="Arial" w:cs="Tahoma"/>
                <w:b/>
                <w:bCs/>
                <w:color w:val="000000" w:themeColor="text1"/>
                <w:w w:val="97"/>
                <w:sz w:val="24"/>
                <w:szCs w:val="24"/>
                <w14:textFill>
                  <w14:solidFill>
                    <w14:schemeClr w14:val="tx1"/>
                  </w14:solidFill>
                </w14:textFill>
              </w:rPr>
              <w:t>31</w:t>
            </w:r>
          </w:p>
        </w:tc>
      </w:tr>
    </w:tbl>
    <w:p>
      <w:pPr>
        <w:tabs>
          <w:tab w:val="left" w:pos="1418"/>
        </w:tabs>
        <w:autoSpaceDE w:val="0"/>
        <w:autoSpaceDN w:val="0"/>
        <w:adjustRightInd w:val="0"/>
        <w:spacing w:after="0" w:line="360" w:lineRule="auto"/>
        <w:ind w:left="426" w:firstLine="29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br w:type="textWrapping" w:clear="all"/>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Yang menjadi kendala selama ini meskipun kondisi Bangunan yang refresentatif sudah tersedia 80% namun pedagang aktif setiap hari beroperasi hanya pada pasar tradisional Kecamatan Benteng yang memiliki luas lahan 3.000 M2.</w:t>
      </w:r>
    </w:p>
    <w:p>
      <w:pPr>
        <w:tabs>
          <w:tab w:val="left" w:pos="1418"/>
        </w:tabs>
        <w:autoSpaceDE w:val="0"/>
        <w:autoSpaceDN w:val="0"/>
        <w:adjustRightInd w:val="0"/>
        <w:spacing w:after="0" w:line="360" w:lineRule="auto"/>
        <w:ind w:left="426" w:firstLine="29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Perkembangan Pasar Tradisional Benteng Kabupaten Kepulauan Selayar tidak menentu, karena sebagian pedagang berpindah-pindah ke pasar TPI. Pasar TPI tidak diperuntukkan sebagai pasar tetapi sebagai Tempat Pelelangan Ikan.</w:t>
      </w:r>
    </w:p>
    <w:p>
      <w:pPr>
        <w:tabs>
          <w:tab w:val="left" w:pos="1134"/>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Dinas Perdagangan, Koperasi dan Usaha Kecil                               dan Menengah memperoleh beberapa penghargaan/prestasi, yaitu :</w:t>
      </w:r>
      <w:r>
        <w:rPr>
          <w:rFonts w:ascii="Bookman Old Style" w:hAnsi="Bookman Old Style" w:eastAsia="Times New Roman" w:cs="Tahoma"/>
          <w:color w:val="000000" w:themeColor="text1"/>
          <w:sz w:val="24"/>
          <w:szCs w:val="24"/>
          <w14:textFill>
            <w14:solidFill>
              <w14:schemeClr w14:val="tx1"/>
            </w14:solidFill>
          </w14:textFill>
        </w:rPr>
        <w:br w:type="textWrapping"/>
      </w:r>
      <w:r>
        <w:rPr>
          <w:rFonts w:ascii="Bookman Old Style" w:hAnsi="Bookman Old Style" w:eastAsia="Times New Roman" w:cs="Tahoma"/>
          <w:color w:val="000000" w:themeColor="text1"/>
          <w:sz w:val="24"/>
          <w:szCs w:val="24"/>
          <w14:textFill>
            <w14:solidFill>
              <w14:schemeClr w14:val="tx1"/>
            </w14:solidFill>
          </w14:textFill>
        </w:rPr>
        <w:t> 1.</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 xml:space="preserve">Dikukuhkannya Pasar Sentral Bonea pada tahun 2017 dan Pasar </w:t>
      </w:r>
      <w:r>
        <w:rPr>
          <w:rFonts w:ascii="Bookman Old Style" w:hAnsi="Bookman Old Style" w:eastAsia="Times New Roman" w:cs="Tahoma"/>
          <w:bCs/>
          <w:color w:val="000000" w:themeColor="text1"/>
          <w:sz w:val="24"/>
          <w:szCs w:val="24"/>
          <w14:textFill>
            <w14:solidFill>
              <w14:schemeClr w14:val="tx1"/>
            </w14:solidFill>
          </w14:textFill>
        </w:rPr>
        <w:br w:type="textWrapping"/>
      </w:r>
      <w:r>
        <w:rPr>
          <w:rFonts w:ascii="Bookman Old Style" w:hAnsi="Bookman Old Style" w:eastAsia="Times New Roman" w:cs="Tahoma"/>
          <w:bCs/>
          <w:color w:val="000000" w:themeColor="text1"/>
          <w:sz w:val="24"/>
          <w:szCs w:val="24"/>
          <w14:textFill>
            <w14:solidFill>
              <w14:schemeClr w14:val="tx1"/>
            </w14:solidFill>
          </w14:textFill>
        </w:rPr>
        <w:t xml:space="preserve">     </w:t>
      </w: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 xml:space="preserve">Batangmata tahun 2018 sebagai Pasar Tertib Ukur dengan </w:t>
      </w:r>
    </w:p>
    <w:p>
      <w:pPr>
        <w:tabs>
          <w:tab w:val="left" w:pos="1134"/>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        menerima piagam penghargaan dari Dirjen Perlindungan </w:t>
      </w:r>
    </w:p>
    <w:p>
      <w:pPr>
        <w:tabs>
          <w:tab w:val="left" w:pos="1134"/>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        Konsumen dan Tertib Niaga Kementrian Perdagangan. </w:t>
      </w:r>
    </w:p>
    <w:p>
      <w:pPr>
        <w:tabs>
          <w:tab w:val="left" w:pos="851"/>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2.     Pengawasan peredaran barang dan jasa dilaksanakan secara </w:t>
      </w:r>
    </w:p>
    <w:p>
      <w:pPr>
        <w:tabs>
          <w:tab w:val="left" w:pos="851"/>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        berkala  dan   telah dilakukan pemusnahan barang kadaluarsa   </w:t>
      </w:r>
    </w:p>
    <w:p>
      <w:pPr>
        <w:tabs>
          <w:tab w:val="left" w:pos="851"/>
          <w:tab w:val="left" w:pos="1418"/>
        </w:tabs>
        <w:autoSpaceDE w:val="0"/>
        <w:autoSpaceDN w:val="0"/>
        <w:adjustRightInd w:val="0"/>
        <w:spacing w:after="0" w:line="360" w:lineRule="auto"/>
        <w:ind w:left="567"/>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        yang disaksikan oleh unsur MUSPIDA.</w:t>
      </w:r>
    </w:p>
    <w:p>
      <w:pPr>
        <w:tabs>
          <w:tab w:val="left" w:pos="851"/>
          <w:tab w:val="left" w:pos="1418"/>
        </w:tabs>
        <w:autoSpaceDE w:val="0"/>
        <w:autoSpaceDN w:val="0"/>
        <w:adjustRightInd w:val="0"/>
        <w:spacing w:after="0" w:line="240" w:lineRule="auto"/>
        <w:ind w:left="426" w:firstLine="294"/>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2.3.12</w:t>
      </w:r>
    </w:p>
    <w:p>
      <w:pPr>
        <w:spacing w:after="0" w:line="240" w:lineRule="auto"/>
        <w:ind w:left="720"/>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Persentase Peningkatan PAD</w:t>
      </w:r>
    </w:p>
    <w:p>
      <w:pPr>
        <w:spacing w:after="0" w:line="240" w:lineRule="auto"/>
        <w:ind w:left="720"/>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Disperindag KUKM Kabupaten Kepulauan Selayar</w:t>
      </w:r>
    </w:p>
    <w:p>
      <w:pPr>
        <w:spacing w:after="0" w:line="240" w:lineRule="auto"/>
        <w:ind w:left="720"/>
        <w:contextualSpacing/>
        <w:jc w:val="center"/>
        <w:rPr>
          <w:rFonts w:ascii="Bookman Old Style" w:hAnsi="Bookman Old Style" w:eastAsia="Times New Roman" w:cs="Tahoma"/>
          <w:color w:val="000000" w:themeColor="text1"/>
          <w:sz w:val="24"/>
          <w:szCs w:val="24"/>
          <w14:textFill>
            <w14:solidFill>
              <w14:schemeClr w14:val="tx1"/>
            </w14:solidFill>
          </w14:textFill>
        </w:rPr>
      </w:pPr>
    </w:p>
    <w:tbl>
      <w:tblPr>
        <w:tblStyle w:val="4"/>
        <w:tblW w:w="4334" w:type="pct"/>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2106"/>
        <w:gridCol w:w="792"/>
        <w:gridCol w:w="831"/>
        <w:gridCol w:w="841"/>
        <w:gridCol w:w="804"/>
        <w:gridCol w:w="841"/>
        <w:gridCol w:w="804"/>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50" w:type="pct"/>
            <w:shd w:val="clear" w:color="auto" w:fill="C3BD96"/>
            <w:vAlign w:val="center"/>
          </w:tcPr>
          <w:p>
            <w:pPr>
              <w:widowControl w:val="0"/>
              <w:autoSpaceDE w:val="0"/>
              <w:autoSpaceDN w:val="0"/>
              <w:adjustRightInd w:val="0"/>
              <w:snapToGrid w:val="0"/>
              <w:spacing w:after="0" w:line="360" w:lineRule="auto"/>
              <w:ind w:left="-273" w:right="-20"/>
              <w:contextualSpacing/>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   NO</w:t>
            </w:r>
          </w:p>
        </w:tc>
        <w:tc>
          <w:tcPr>
            <w:tcW w:w="1304" w:type="pct"/>
            <w:shd w:val="clear" w:color="auto" w:fill="C3BD96"/>
            <w:vAlign w:val="center"/>
          </w:tcPr>
          <w:p>
            <w:pPr>
              <w:tabs>
                <w:tab w:val="left" w:pos="540"/>
              </w:tabs>
              <w:snapToGrid w:val="0"/>
              <w:spacing w:after="0" w:line="360" w:lineRule="auto"/>
              <w:contextualSpacing/>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Uraian</w:t>
            </w:r>
          </w:p>
        </w:tc>
        <w:tc>
          <w:tcPr>
            <w:tcW w:w="516" w:type="pct"/>
            <w:shd w:val="clear" w:color="auto" w:fill="C3BD96"/>
          </w:tcPr>
          <w:p>
            <w:pPr>
              <w:widowControl w:val="0"/>
              <w:autoSpaceDE w:val="0"/>
              <w:autoSpaceDN w:val="0"/>
              <w:adjustRightInd w:val="0"/>
              <w:spacing w:after="0" w:line="360" w:lineRule="auto"/>
              <w:ind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p>
          <w:p>
            <w:pPr>
              <w:widowControl w:val="0"/>
              <w:autoSpaceDE w:val="0"/>
              <w:autoSpaceDN w:val="0"/>
              <w:adjustRightInd w:val="0"/>
              <w:spacing w:after="0" w:line="360" w:lineRule="auto"/>
              <w:ind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w:t>
            </w:r>
          </w:p>
        </w:tc>
        <w:tc>
          <w:tcPr>
            <w:tcW w:w="472" w:type="pct"/>
            <w:shd w:val="clear" w:color="auto" w:fill="C3BD96"/>
            <w:vAlign w:val="center"/>
          </w:tcPr>
          <w:p>
            <w:pPr>
              <w:widowControl w:val="0"/>
              <w:autoSpaceDE w:val="0"/>
              <w:autoSpaceDN w:val="0"/>
              <w:adjustRightInd w:val="0"/>
              <w:spacing w:after="0" w:line="360" w:lineRule="auto"/>
              <w:ind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2015</w:t>
            </w:r>
          </w:p>
        </w:tc>
        <w:tc>
          <w:tcPr>
            <w:tcW w:w="472"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2016</w:t>
            </w:r>
          </w:p>
        </w:tc>
        <w:tc>
          <w:tcPr>
            <w:tcW w:w="472"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2017</w:t>
            </w:r>
          </w:p>
        </w:tc>
        <w:tc>
          <w:tcPr>
            <w:tcW w:w="472" w:type="pct"/>
            <w:shd w:val="clear" w:color="auto" w:fill="C3BD96"/>
            <w:vAlign w:val="center"/>
          </w:tcPr>
          <w:p>
            <w:pPr>
              <w:widowControl w:val="0"/>
              <w:autoSpaceDE w:val="0"/>
              <w:autoSpaceDN w:val="0"/>
              <w:adjustRightInd w:val="0"/>
              <w:spacing w:after="0" w:line="360" w:lineRule="auto"/>
              <w:ind w:left="10"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2018</w:t>
            </w:r>
          </w:p>
        </w:tc>
        <w:tc>
          <w:tcPr>
            <w:tcW w:w="472"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2019</w:t>
            </w:r>
          </w:p>
        </w:tc>
        <w:tc>
          <w:tcPr>
            <w:tcW w:w="470" w:type="pct"/>
            <w:shd w:val="clear" w:color="auto" w:fill="C3BD96"/>
            <w:vAlign w:val="center"/>
          </w:tcPr>
          <w:p>
            <w:pPr>
              <w:widowControl w:val="0"/>
              <w:autoSpaceDE w:val="0"/>
              <w:autoSpaceDN w:val="0"/>
              <w:adjustRightInd w:val="0"/>
              <w:spacing w:after="0" w:line="360" w:lineRule="auto"/>
              <w:ind w:left="-42" w:right="-20"/>
              <w:contextualSpacing/>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50"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1</w:t>
            </w:r>
          </w:p>
        </w:tc>
        <w:tc>
          <w:tcPr>
            <w:tcW w:w="1304"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Retribusi Pasar</w:t>
            </w:r>
          </w:p>
          <w:p>
            <w:pPr>
              <w:widowControl w:val="0"/>
              <w:autoSpaceDE w:val="0"/>
              <w:autoSpaceDN w:val="0"/>
              <w:adjustRightInd w:val="0"/>
              <w:snapToGrid w:val="0"/>
              <w:spacing w:after="0" w:line="360" w:lineRule="auto"/>
              <w:ind w:right="-20"/>
              <w:contextualSpacing/>
              <w:rPr>
                <w:rFonts w:ascii="Bookman Old Style" w:hAnsi="Bookman Old Style" w:eastAsia="Times New Roman" w:cs="Tahoma"/>
                <w:color w:val="000000" w:themeColor="text1"/>
                <w:sz w:val="24"/>
                <w:szCs w:val="24"/>
                <w14:textFill>
                  <w14:solidFill>
                    <w14:schemeClr w14:val="tx1"/>
                  </w14:solidFill>
                </w14:textFill>
              </w:rPr>
            </w:pPr>
          </w:p>
        </w:tc>
        <w:tc>
          <w:tcPr>
            <w:tcW w:w="51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p>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21,15</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24,43</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26,51</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28,32</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29,52</w:t>
            </w:r>
          </w:p>
        </w:tc>
        <w:tc>
          <w:tcPr>
            <w:tcW w:w="470"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50"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2</w:t>
            </w:r>
          </w:p>
        </w:tc>
        <w:tc>
          <w:tcPr>
            <w:tcW w:w="1304" w:type="pct"/>
            <w:vAlign w:val="center"/>
          </w:tcPr>
          <w:p>
            <w:pPr>
              <w:widowControl w:val="0"/>
              <w:autoSpaceDE w:val="0"/>
              <w:autoSpaceDN w:val="0"/>
              <w:adjustRightInd w:val="0"/>
              <w:snapToGrid w:val="0"/>
              <w:spacing w:after="0" w:line="360" w:lineRule="auto"/>
              <w:ind w:right="-20"/>
              <w:contextualSpacing/>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Tera/Tera Ulang</w:t>
            </w:r>
          </w:p>
        </w:tc>
        <w:tc>
          <w:tcPr>
            <w:tcW w:w="516"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32,47</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36,72</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40,66</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45,92</w:t>
            </w:r>
          </w:p>
        </w:tc>
        <w:tc>
          <w:tcPr>
            <w:tcW w:w="472" w:type="pct"/>
            <w:shd w:val="clear" w:color="auto" w:fill="auto"/>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48,59</w:t>
            </w:r>
          </w:p>
        </w:tc>
        <w:tc>
          <w:tcPr>
            <w:tcW w:w="470" w:type="pct"/>
          </w:tcPr>
          <w:p>
            <w:pPr>
              <w:widowControl w:val="0"/>
              <w:autoSpaceDE w:val="0"/>
              <w:autoSpaceDN w:val="0"/>
              <w:adjustRightInd w:val="0"/>
              <w:snapToGrid w:val="0"/>
              <w:spacing w:after="0" w:line="360" w:lineRule="auto"/>
              <w:ind w:right="-20" w:hanging="65"/>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zh-CN"/>
                <w14:textFill>
                  <w14:solidFill>
                    <w14:schemeClr w14:val="tx1"/>
                  </w14:solidFill>
                </w14:textFill>
              </w:rPr>
              <w:t>51,51</w:t>
            </w:r>
          </w:p>
        </w:tc>
      </w:tr>
    </w:tbl>
    <w:p>
      <w:pPr>
        <w:tabs>
          <w:tab w:val="left" w:pos="851"/>
          <w:tab w:val="left" w:pos="1418"/>
        </w:tabs>
        <w:autoSpaceDE w:val="0"/>
        <w:autoSpaceDN w:val="0"/>
        <w:adjustRightInd w:val="0"/>
        <w:spacing w:after="0" w:line="360" w:lineRule="auto"/>
        <w:ind w:left="426" w:firstLine="294"/>
        <w:contextualSpacing/>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w:t>
      </w:r>
    </w:p>
    <w:p>
      <w:pPr>
        <w:tabs>
          <w:tab w:val="left" w:pos="1701"/>
        </w:tabs>
        <w:spacing w:after="0" w:line="360" w:lineRule="auto"/>
        <w:ind w:firstLine="709"/>
        <w:jc w:val="both"/>
        <w:rPr>
          <w:rFonts w:ascii="Bookman Old Style" w:hAnsi="Bookman Old Style" w:eastAsia="Times New Roman" w:cs="Tahoma"/>
          <w:sz w:val="24"/>
          <w:szCs w:val="24"/>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Capaian kinerja Dinas Perdagangan, dan                                             Koperasi Usaha Kecil dan Menengah Kabupaten Kepulauan Selayar                            berdasarkan sasaran/target Renstra periode 2016-2020, dituangkan dalam                            Tabel 2.3.13 (T-C. 23) dan Tabel 2.3.14 (T-C. 24) sebagai berikut :</w:t>
      </w:r>
    </w:p>
    <w:p>
      <w:pPr>
        <w:spacing w:after="0" w:line="240" w:lineRule="auto"/>
        <w:rPr>
          <w:rFonts w:ascii="Bookman Old Style" w:hAnsi="Bookman Old Style" w:eastAsia="Times New Roman" w:cs="Tahoma"/>
          <w:sz w:val="24"/>
          <w:szCs w:val="24"/>
        </w:rPr>
        <w:sectPr>
          <w:headerReference r:id="rId22" w:type="first"/>
          <w:headerReference r:id="rId20" w:type="default"/>
          <w:footerReference r:id="rId23" w:type="default"/>
          <w:headerReference r:id="rId21" w:type="even"/>
          <w:footerReference r:id="rId24" w:type="even"/>
          <w:pgSz w:w="12240" w:h="20160"/>
          <w:pgMar w:top="1134" w:right="1134" w:bottom="3402" w:left="1701" w:header="720" w:footer="2268" w:gutter="0"/>
          <w:cols w:space="720" w:num="1"/>
          <w:docGrid w:linePitch="326" w:charSpace="0"/>
        </w:sectPr>
      </w:pPr>
    </w:p>
    <w:tbl>
      <w:tblPr>
        <w:tblStyle w:val="4"/>
        <w:tblW w:w="17144" w:type="dxa"/>
        <w:tblInd w:w="-131" w:type="dxa"/>
        <w:tblLayout w:type="fixed"/>
        <w:tblCellMar>
          <w:top w:w="0" w:type="dxa"/>
          <w:left w:w="108" w:type="dxa"/>
          <w:bottom w:w="0" w:type="dxa"/>
          <w:right w:w="108" w:type="dxa"/>
        </w:tblCellMar>
      </w:tblPr>
      <w:tblGrid>
        <w:gridCol w:w="602"/>
        <w:gridCol w:w="2754"/>
        <w:gridCol w:w="389"/>
        <w:gridCol w:w="349"/>
        <w:gridCol w:w="695"/>
        <w:gridCol w:w="626"/>
        <w:gridCol w:w="291"/>
        <w:gridCol w:w="803"/>
        <w:gridCol w:w="708"/>
        <w:gridCol w:w="708"/>
        <w:gridCol w:w="790"/>
        <w:gridCol w:w="735"/>
        <w:gridCol w:w="770"/>
        <w:gridCol w:w="863"/>
        <w:gridCol w:w="696"/>
        <w:gridCol w:w="767"/>
        <w:gridCol w:w="674"/>
        <w:gridCol w:w="62"/>
        <w:gridCol w:w="681"/>
        <w:gridCol w:w="678"/>
        <w:gridCol w:w="658"/>
        <w:gridCol w:w="911"/>
        <w:gridCol w:w="512"/>
        <w:gridCol w:w="211"/>
        <w:gridCol w:w="211"/>
      </w:tblGrid>
      <w:tr>
        <w:tblPrEx>
          <w:tblCellMar>
            <w:top w:w="0" w:type="dxa"/>
            <w:left w:w="108" w:type="dxa"/>
            <w:bottom w:w="0" w:type="dxa"/>
            <w:right w:w="108" w:type="dxa"/>
          </w:tblCellMar>
        </w:tblPrEx>
        <w:trPr>
          <w:gridAfter w:val="2"/>
          <w:wAfter w:w="422" w:type="dxa"/>
          <w:trHeight w:val="377" w:hRule="atLeast"/>
        </w:trPr>
        <w:tc>
          <w:tcPr>
            <w:tcW w:w="16722" w:type="dxa"/>
            <w:gridSpan w:val="23"/>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lang w:val="en-GB" w:eastAsia="en-GB"/>
                <w14:textFill>
                  <w14:solidFill>
                    <w14:schemeClr w14:val="tx1"/>
                  </w14:solidFill>
                </w14:textFill>
              </w:rPr>
            </w:pPr>
            <w:r>
              <w:rPr>
                <w:rFonts w:ascii="Bookman Old Style" w:hAnsi="Bookman Old Style" w:eastAsia="Times New Roman" w:cs="Calibri"/>
                <w:b/>
                <w:bCs/>
                <w:color w:val="000000" w:themeColor="text1"/>
                <w:lang w:val="en-GB" w:eastAsia="en-GB"/>
                <w14:textFill>
                  <w14:solidFill>
                    <w14:schemeClr w14:val="tx1"/>
                  </w14:solidFill>
                </w14:textFill>
              </w:rPr>
              <w:t>Tabel. 2.3.1</w:t>
            </w:r>
            <w:r>
              <w:rPr>
                <w:rFonts w:ascii="Bookman Old Style" w:hAnsi="Bookman Old Style" w:eastAsia="Times New Roman" w:cs="Calibri"/>
                <w:b/>
                <w:bCs/>
                <w:color w:val="000000" w:themeColor="text1"/>
                <w:lang w:eastAsia="en-GB"/>
                <w14:textFill>
                  <w14:solidFill>
                    <w14:schemeClr w14:val="tx1"/>
                  </w14:solidFill>
                </w14:textFill>
              </w:rPr>
              <w:t>3</w:t>
            </w:r>
            <w:r>
              <w:rPr>
                <w:rFonts w:ascii="Bookman Old Style" w:hAnsi="Bookman Old Style" w:eastAsia="Times New Roman" w:cs="Calibri"/>
                <w:b/>
                <w:bCs/>
                <w:color w:val="000000" w:themeColor="text1"/>
                <w:lang w:val="en-GB" w:eastAsia="en-GB"/>
                <w14:textFill>
                  <w14:solidFill>
                    <w14:schemeClr w14:val="tx1"/>
                  </w14:solidFill>
                </w14:textFill>
              </w:rPr>
              <w:t xml:space="preserve"> </w:t>
            </w:r>
            <w:r>
              <w:rPr>
                <w:rFonts w:ascii="Bookman Old Style" w:hAnsi="Bookman Old Style" w:eastAsia="Times New Roman" w:cs="Tahoma"/>
                <w:b/>
                <w:color w:val="000000" w:themeColor="text1"/>
                <w14:textFill>
                  <w14:solidFill>
                    <w14:schemeClr w14:val="tx1"/>
                  </w14:solidFill>
                </w14:textFill>
              </w:rPr>
              <w:t>(T-C. 23)</w:t>
            </w:r>
          </w:p>
        </w:tc>
      </w:tr>
      <w:tr>
        <w:tblPrEx>
          <w:tblCellMar>
            <w:top w:w="0" w:type="dxa"/>
            <w:left w:w="108" w:type="dxa"/>
            <w:bottom w:w="0" w:type="dxa"/>
            <w:right w:w="108" w:type="dxa"/>
          </w:tblCellMar>
        </w:tblPrEx>
        <w:trPr>
          <w:gridAfter w:val="2"/>
          <w:wAfter w:w="422" w:type="dxa"/>
          <w:trHeight w:val="377" w:hRule="atLeast"/>
        </w:trPr>
        <w:tc>
          <w:tcPr>
            <w:tcW w:w="16722" w:type="dxa"/>
            <w:gridSpan w:val="23"/>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lang w:val="en-GB" w:eastAsia="en-GB"/>
                <w14:textFill>
                  <w14:solidFill>
                    <w14:schemeClr w14:val="tx1"/>
                  </w14:solidFill>
                </w14:textFill>
              </w:rPr>
            </w:pPr>
            <w:r>
              <w:rPr>
                <w:rFonts w:ascii="Bookman Old Style" w:hAnsi="Bookman Old Style" w:eastAsia="Times New Roman" w:cs="Calibri"/>
                <w:b/>
                <w:bCs/>
                <w:color w:val="000000" w:themeColor="text1"/>
                <w:lang w:val="en-GB" w:eastAsia="en-GB"/>
                <w14:textFill>
                  <w14:solidFill>
                    <w14:schemeClr w14:val="tx1"/>
                  </w14:solidFill>
                </w14:textFill>
              </w:rPr>
              <w:t>Pencapaian Kinerja Pelayanan Dinas Perindustrian, Perdagangan, Koperasi Usaha Kecil dan Menengah</w:t>
            </w:r>
          </w:p>
        </w:tc>
      </w:tr>
      <w:tr>
        <w:tblPrEx>
          <w:tblCellMar>
            <w:top w:w="0" w:type="dxa"/>
            <w:left w:w="108" w:type="dxa"/>
            <w:bottom w:w="0" w:type="dxa"/>
            <w:right w:w="108" w:type="dxa"/>
          </w:tblCellMar>
        </w:tblPrEx>
        <w:trPr>
          <w:gridAfter w:val="2"/>
          <w:wAfter w:w="422" w:type="dxa"/>
          <w:trHeight w:val="461" w:hRule="atLeast"/>
        </w:trPr>
        <w:tc>
          <w:tcPr>
            <w:tcW w:w="16722" w:type="dxa"/>
            <w:gridSpan w:val="23"/>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lang w:val="en-GB" w:eastAsia="en-GB"/>
                <w14:textFill>
                  <w14:solidFill>
                    <w14:schemeClr w14:val="tx1"/>
                  </w14:solidFill>
                </w14:textFill>
              </w:rPr>
            </w:pPr>
            <w:r>
              <w:rPr>
                <w:rFonts w:ascii="Bookman Old Style" w:hAnsi="Bookman Old Style" w:eastAsia="Times New Roman" w:cs="Calibri"/>
                <w:b/>
                <w:bCs/>
                <w:color w:val="000000" w:themeColor="text1"/>
                <w:lang w:val="en-GB" w:eastAsia="en-GB"/>
                <w14:textFill>
                  <w14:solidFill>
                    <w14:schemeClr w14:val="tx1"/>
                  </w14:solidFill>
                </w14:textFill>
              </w:rPr>
              <w:t>Kabupaten Kepulauan Selayar</w:t>
            </w:r>
          </w:p>
        </w:tc>
      </w:tr>
      <w:tr>
        <w:tblPrEx>
          <w:tblCellMar>
            <w:top w:w="0" w:type="dxa"/>
            <w:left w:w="108" w:type="dxa"/>
            <w:bottom w:w="0" w:type="dxa"/>
            <w:right w:w="108" w:type="dxa"/>
          </w:tblCellMar>
        </w:tblPrEx>
        <w:trPr>
          <w:trHeight w:val="377" w:hRule="atLeast"/>
        </w:trPr>
        <w:tc>
          <w:tcPr>
            <w:tcW w:w="602"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2754"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389"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349"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95"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26"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291"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803"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0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0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90"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35"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70"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863"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96"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67"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36" w:type="dxa"/>
            <w:gridSpan w:val="2"/>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81"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7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5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911"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934" w:type="dxa"/>
            <w:gridSpan w:val="3"/>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r>
      <w:tr>
        <w:tblPrEx>
          <w:tblCellMar>
            <w:top w:w="0" w:type="dxa"/>
            <w:left w:w="108" w:type="dxa"/>
            <w:bottom w:w="0" w:type="dxa"/>
            <w:right w:w="108" w:type="dxa"/>
          </w:tblCellMar>
        </w:tblPrEx>
        <w:trPr>
          <w:trHeight w:val="105" w:hRule="atLeast"/>
        </w:trPr>
        <w:tc>
          <w:tcPr>
            <w:tcW w:w="602"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2754"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bCs/>
                <w:color w:val="000000" w:themeColor="text1"/>
                <w:sz w:val="12"/>
                <w:szCs w:val="12"/>
                <w:lang w:val="en-GB" w:eastAsia="en-GB"/>
                <w14:textFill>
                  <w14:solidFill>
                    <w14:schemeClr w14:val="tx1"/>
                  </w14:solidFill>
                </w14:textFill>
              </w:rPr>
            </w:pPr>
          </w:p>
        </w:tc>
        <w:tc>
          <w:tcPr>
            <w:tcW w:w="389"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349"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95"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26"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291" w:type="dxa"/>
            <w:tcBorders>
              <w:top w:val="nil"/>
              <w:left w:val="nil"/>
              <w:bottom w:val="nil"/>
              <w:right w:val="nil"/>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803"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0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0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90"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35"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70"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863"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96"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67"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736" w:type="dxa"/>
            <w:gridSpan w:val="2"/>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81"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7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58"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911"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934" w:type="dxa"/>
            <w:gridSpan w:val="3"/>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tc>
      </w:tr>
      <w:tr>
        <w:tblPrEx>
          <w:tblCellMar>
            <w:top w:w="0" w:type="dxa"/>
            <w:left w:w="108" w:type="dxa"/>
            <w:bottom w:w="0" w:type="dxa"/>
            <w:right w:w="108" w:type="dxa"/>
          </w:tblCellMar>
        </w:tblPrEx>
        <w:trPr>
          <w:gridAfter w:val="1"/>
          <w:wAfter w:w="211" w:type="dxa"/>
          <w:trHeight w:val="207" w:hRule="atLeast"/>
        </w:trPr>
        <w:tc>
          <w:tcPr>
            <w:tcW w:w="602" w:type="dxa"/>
            <w:vMerge w:val="restart"/>
            <w:tcBorders>
              <w:top w:val="double" w:color="auto" w:sz="6" w:space="0"/>
              <w:left w:val="double" w:color="auto" w:sz="6" w:space="0"/>
              <w:bottom w:val="double" w:color="000000"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No</w:t>
            </w:r>
          </w:p>
        </w:tc>
        <w:tc>
          <w:tcPr>
            <w:tcW w:w="2754" w:type="dxa"/>
            <w:vMerge w:val="restart"/>
            <w:tcBorders>
              <w:top w:val="double" w:color="auto" w:sz="6" w:space="0"/>
              <w:left w:val="single" w:color="auto" w:sz="4" w:space="0"/>
              <w:bottom w:val="double" w:color="000000"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Times New Roman"/>
                <w:sz w:val="12"/>
                <w:szCs w:val="12"/>
              </w:rPr>
              <w:t>Indikator Kinerja sesuai Tugas dan Fungsi Perangkat Daerah</w:t>
            </w:r>
          </w:p>
        </w:tc>
        <w:tc>
          <w:tcPr>
            <w:tcW w:w="738" w:type="dxa"/>
            <w:gridSpan w:val="2"/>
            <w:vMerge w:val="restart"/>
            <w:tcBorders>
              <w:top w:val="double" w:color="auto" w:sz="6" w:space="0"/>
              <w:left w:val="single" w:color="auto" w:sz="4" w:space="0"/>
              <w:bottom w:val="double" w:color="000000" w:sz="6" w:space="0"/>
              <w:right w:val="single" w:color="000000"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Target NSPK</w:t>
            </w:r>
          </w:p>
        </w:tc>
        <w:tc>
          <w:tcPr>
            <w:tcW w:w="695" w:type="dxa"/>
            <w:vMerge w:val="restart"/>
            <w:tcBorders>
              <w:top w:val="double" w:color="auto" w:sz="6" w:space="0"/>
              <w:left w:val="single" w:color="auto" w:sz="4" w:space="0"/>
              <w:bottom w:val="double" w:color="000000"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Target IKK</w:t>
            </w:r>
          </w:p>
        </w:tc>
        <w:tc>
          <w:tcPr>
            <w:tcW w:w="917" w:type="dxa"/>
            <w:gridSpan w:val="2"/>
            <w:vMerge w:val="restart"/>
            <w:tcBorders>
              <w:top w:val="double" w:color="auto" w:sz="6" w:space="0"/>
              <w:left w:val="single" w:color="auto" w:sz="4" w:space="0"/>
              <w:bottom w:val="double" w:color="000000" w:sz="6" w:space="0"/>
              <w:right w:val="single" w:color="000000"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Target Indikator                   Lainnya</w:t>
            </w:r>
          </w:p>
        </w:tc>
        <w:tc>
          <w:tcPr>
            <w:tcW w:w="3744" w:type="dxa"/>
            <w:gridSpan w:val="5"/>
            <w:tcBorders>
              <w:top w:val="double" w:color="auto" w:sz="6" w:space="0"/>
              <w:left w:val="nil"/>
              <w:bottom w:val="single" w:color="auto" w:sz="4" w:space="0"/>
              <w:right w:val="single" w:color="000000"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Target Renstra OPD Tahun ke-</w:t>
            </w:r>
          </w:p>
        </w:tc>
        <w:tc>
          <w:tcPr>
            <w:tcW w:w="3770" w:type="dxa"/>
            <w:gridSpan w:val="5"/>
            <w:tcBorders>
              <w:top w:val="double" w:color="auto" w:sz="6" w:space="0"/>
              <w:left w:val="nil"/>
              <w:bottom w:val="single" w:color="auto" w:sz="4" w:space="0"/>
              <w:right w:val="nil"/>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Realisasi Capaian  Tahun ke-</w:t>
            </w:r>
          </w:p>
        </w:tc>
        <w:tc>
          <w:tcPr>
            <w:tcW w:w="3713" w:type="dxa"/>
            <w:gridSpan w:val="7"/>
            <w:tcBorders>
              <w:top w:val="double" w:color="auto" w:sz="6" w:space="0"/>
              <w:left w:val="single" w:color="auto" w:sz="4" w:space="0"/>
              <w:bottom w:val="single" w:color="auto" w:sz="4" w:space="0"/>
              <w:right w:val="double" w:color="000000" w:sz="6"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Rasio Capaian Tahun ke-</w:t>
            </w:r>
          </w:p>
        </w:tc>
      </w:tr>
      <w:tr>
        <w:tblPrEx>
          <w:tblCellMar>
            <w:top w:w="0" w:type="dxa"/>
            <w:left w:w="108" w:type="dxa"/>
            <w:bottom w:w="0" w:type="dxa"/>
            <w:right w:w="108" w:type="dxa"/>
          </w:tblCellMar>
        </w:tblPrEx>
        <w:trPr>
          <w:gridAfter w:val="1"/>
          <w:wAfter w:w="211" w:type="dxa"/>
          <w:trHeight w:val="229" w:hRule="atLeast"/>
        </w:trPr>
        <w:tc>
          <w:tcPr>
            <w:tcW w:w="602" w:type="dxa"/>
            <w:vMerge w:val="continue"/>
            <w:tcBorders>
              <w:top w:val="double" w:color="auto" w:sz="6" w:space="0"/>
              <w:left w:val="double" w:color="auto" w:sz="6" w:space="0"/>
              <w:bottom w:val="double" w:color="000000" w:sz="6" w:space="0"/>
              <w:right w:val="single" w:color="auto"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2754" w:type="dxa"/>
            <w:vMerge w:val="continue"/>
            <w:tcBorders>
              <w:top w:val="double" w:color="auto" w:sz="6" w:space="0"/>
              <w:left w:val="single" w:color="auto" w:sz="4" w:space="0"/>
              <w:bottom w:val="double" w:color="000000" w:sz="6" w:space="0"/>
              <w:right w:val="single" w:color="auto"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738" w:type="dxa"/>
            <w:gridSpan w:val="2"/>
            <w:vMerge w:val="continue"/>
            <w:tcBorders>
              <w:top w:val="double" w:color="auto" w:sz="6" w:space="0"/>
              <w:left w:val="single" w:color="auto" w:sz="4" w:space="0"/>
              <w:bottom w:val="double" w:color="000000" w:sz="6" w:space="0"/>
              <w:right w:val="single" w:color="000000"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695" w:type="dxa"/>
            <w:vMerge w:val="continue"/>
            <w:tcBorders>
              <w:top w:val="double" w:color="auto" w:sz="6" w:space="0"/>
              <w:left w:val="single" w:color="auto" w:sz="4" w:space="0"/>
              <w:bottom w:val="double" w:color="000000" w:sz="6" w:space="0"/>
              <w:right w:val="single" w:color="auto"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917" w:type="dxa"/>
            <w:gridSpan w:val="2"/>
            <w:vMerge w:val="continue"/>
            <w:tcBorders>
              <w:top w:val="double" w:color="auto" w:sz="6" w:space="0"/>
              <w:left w:val="single" w:color="auto" w:sz="4" w:space="0"/>
              <w:bottom w:val="double" w:color="000000" w:sz="6" w:space="0"/>
              <w:right w:val="single" w:color="000000"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803"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2016</w:t>
            </w:r>
          </w:p>
        </w:tc>
        <w:tc>
          <w:tcPr>
            <w:tcW w:w="708"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2017</w:t>
            </w:r>
          </w:p>
        </w:tc>
        <w:tc>
          <w:tcPr>
            <w:tcW w:w="708"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2018</w:t>
            </w:r>
          </w:p>
        </w:tc>
        <w:tc>
          <w:tcPr>
            <w:tcW w:w="790"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2019</w:t>
            </w:r>
          </w:p>
        </w:tc>
        <w:tc>
          <w:tcPr>
            <w:tcW w:w="735"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2020</w:t>
            </w:r>
          </w:p>
        </w:tc>
        <w:tc>
          <w:tcPr>
            <w:tcW w:w="770"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2016</w:t>
            </w:r>
          </w:p>
        </w:tc>
        <w:tc>
          <w:tcPr>
            <w:tcW w:w="863"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2017</w:t>
            </w:r>
          </w:p>
        </w:tc>
        <w:tc>
          <w:tcPr>
            <w:tcW w:w="696"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2018</w:t>
            </w:r>
          </w:p>
        </w:tc>
        <w:tc>
          <w:tcPr>
            <w:tcW w:w="767"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2019</w:t>
            </w:r>
          </w:p>
        </w:tc>
        <w:tc>
          <w:tcPr>
            <w:tcW w:w="736" w:type="dxa"/>
            <w:gridSpan w:val="2"/>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2020</w:t>
            </w:r>
          </w:p>
        </w:tc>
        <w:tc>
          <w:tcPr>
            <w:tcW w:w="681"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2016</w:t>
            </w:r>
          </w:p>
        </w:tc>
        <w:tc>
          <w:tcPr>
            <w:tcW w:w="678"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2017</w:t>
            </w:r>
          </w:p>
        </w:tc>
        <w:tc>
          <w:tcPr>
            <w:tcW w:w="658"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2018</w:t>
            </w:r>
          </w:p>
        </w:tc>
        <w:tc>
          <w:tcPr>
            <w:tcW w:w="911" w:type="dxa"/>
            <w:tcBorders>
              <w:top w:val="nil"/>
              <w:left w:val="nil"/>
              <w:bottom w:val="double" w:color="auto" w:sz="6"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2019</w:t>
            </w:r>
          </w:p>
        </w:tc>
        <w:tc>
          <w:tcPr>
            <w:tcW w:w="723" w:type="dxa"/>
            <w:gridSpan w:val="2"/>
            <w:tcBorders>
              <w:top w:val="nil"/>
              <w:left w:val="nil"/>
              <w:bottom w:val="double" w:color="auto" w:sz="6" w:space="0"/>
              <w:right w:val="double" w:color="auto" w:sz="6" w:space="0"/>
            </w:tcBorders>
            <w:shd w:val="clear" w:color="auto" w:fill="auto"/>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2020</w:t>
            </w:r>
          </w:p>
        </w:tc>
      </w:tr>
      <w:tr>
        <w:tblPrEx>
          <w:tblCellMar>
            <w:top w:w="0" w:type="dxa"/>
            <w:left w:w="108" w:type="dxa"/>
            <w:bottom w:w="0" w:type="dxa"/>
            <w:right w:w="108" w:type="dxa"/>
          </w:tblCellMar>
        </w:tblPrEx>
        <w:trPr>
          <w:gridAfter w:val="1"/>
          <w:wAfter w:w="211" w:type="dxa"/>
          <w:trHeight w:val="356" w:hRule="atLeast"/>
        </w:trPr>
        <w:tc>
          <w:tcPr>
            <w:tcW w:w="602" w:type="dxa"/>
            <w:tcBorders>
              <w:top w:val="nil"/>
              <w:left w:val="double" w:color="auto" w:sz="6" w:space="0"/>
              <w:bottom w:val="double" w:color="auto" w:sz="6" w:space="0"/>
              <w:right w:val="nil"/>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w:t>
            </w:r>
          </w:p>
        </w:tc>
        <w:tc>
          <w:tcPr>
            <w:tcW w:w="2754" w:type="dxa"/>
            <w:tcBorders>
              <w:top w:val="nil"/>
              <w:left w:val="single" w:color="auto" w:sz="4" w:space="0"/>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w:t>
            </w:r>
          </w:p>
        </w:tc>
        <w:tc>
          <w:tcPr>
            <w:tcW w:w="738" w:type="dxa"/>
            <w:gridSpan w:val="2"/>
            <w:tcBorders>
              <w:top w:val="double" w:color="auto" w:sz="6" w:space="0"/>
              <w:left w:val="nil"/>
              <w:bottom w:val="double" w:color="auto" w:sz="6" w:space="0"/>
              <w:right w:val="single" w:color="000000"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3</w:t>
            </w:r>
          </w:p>
        </w:tc>
        <w:tc>
          <w:tcPr>
            <w:tcW w:w="695"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4</w:t>
            </w:r>
          </w:p>
        </w:tc>
        <w:tc>
          <w:tcPr>
            <w:tcW w:w="917" w:type="dxa"/>
            <w:gridSpan w:val="2"/>
            <w:tcBorders>
              <w:top w:val="double" w:color="auto" w:sz="6" w:space="0"/>
              <w:left w:val="nil"/>
              <w:bottom w:val="double" w:color="auto" w:sz="6" w:space="0"/>
              <w:right w:val="single" w:color="000000"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5</w:t>
            </w:r>
          </w:p>
        </w:tc>
        <w:tc>
          <w:tcPr>
            <w:tcW w:w="803"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6</w:t>
            </w:r>
          </w:p>
        </w:tc>
        <w:tc>
          <w:tcPr>
            <w:tcW w:w="708"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7</w:t>
            </w:r>
          </w:p>
        </w:tc>
        <w:tc>
          <w:tcPr>
            <w:tcW w:w="708"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8</w:t>
            </w:r>
          </w:p>
        </w:tc>
        <w:tc>
          <w:tcPr>
            <w:tcW w:w="790"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9</w:t>
            </w:r>
          </w:p>
        </w:tc>
        <w:tc>
          <w:tcPr>
            <w:tcW w:w="735"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10</w:t>
            </w:r>
          </w:p>
        </w:tc>
        <w:tc>
          <w:tcPr>
            <w:tcW w:w="770"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11</w:t>
            </w:r>
          </w:p>
        </w:tc>
        <w:tc>
          <w:tcPr>
            <w:tcW w:w="863"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12</w:t>
            </w:r>
          </w:p>
        </w:tc>
        <w:tc>
          <w:tcPr>
            <w:tcW w:w="696"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13</w:t>
            </w:r>
          </w:p>
        </w:tc>
        <w:tc>
          <w:tcPr>
            <w:tcW w:w="767"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14</w:t>
            </w:r>
          </w:p>
        </w:tc>
        <w:tc>
          <w:tcPr>
            <w:tcW w:w="736" w:type="dxa"/>
            <w:gridSpan w:val="2"/>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15</w:t>
            </w:r>
          </w:p>
        </w:tc>
        <w:tc>
          <w:tcPr>
            <w:tcW w:w="681"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16</w:t>
            </w:r>
          </w:p>
        </w:tc>
        <w:tc>
          <w:tcPr>
            <w:tcW w:w="678"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17</w:t>
            </w:r>
          </w:p>
        </w:tc>
        <w:tc>
          <w:tcPr>
            <w:tcW w:w="658"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18</w:t>
            </w:r>
          </w:p>
        </w:tc>
        <w:tc>
          <w:tcPr>
            <w:tcW w:w="911" w:type="dxa"/>
            <w:tcBorders>
              <w:top w:val="nil"/>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19</w:t>
            </w:r>
          </w:p>
        </w:tc>
        <w:tc>
          <w:tcPr>
            <w:tcW w:w="723" w:type="dxa"/>
            <w:gridSpan w:val="2"/>
            <w:tcBorders>
              <w:top w:val="nil"/>
              <w:left w:val="nil"/>
              <w:bottom w:val="double" w:color="auto" w:sz="6" w:space="0"/>
              <w:right w:val="double" w:color="auto" w:sz="6"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20</w:t>
            </w:r>
          </w:p>
        </w:tc>
      </w:tr>
      <w:tr>
        <w:tblPrEx>
          <w:tblCellMar>
            <w:top w:w="0" w:type="dxa"/>
            <w:left w:w="108" w:type="dxa"/>
            <w:bottom w:w="0" w:type="dxa"/>
            <w:right w:w="108" w:type="dxa"/>
          </w:tblCellMar>
        </w:tblPrEx>
        <w:trPr>
          <w:gridAfter w:val="1"/>
          <w:wAfter w:w="211" w:type="dxa"/>
          <w:trHeight w:val="252" w:hRule="atLeast"/>
        </w:trPr>
        <w:tc>
          <w:tcPr>
            <w:tcW w:w="602" w:type="dxa"/>
            <w:tcBorders>
              <w:top w:val="nil"/>
              <w:left w:val="double" w:color="auto" w:sz="6"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2754" w:type="dxa"/>
            <w:tcBorders>
              <w:top w:val="nil"/>
              <w:left w:val="single" w:color="auto" w:sz="4" w:space="0"/>
              <w:bottom w:val="nil"/>
              <w:right w:val="single" w:color="auto" w:sz="4" w:space="0"/>
            </w:tcBorders>
            <w:shd w:val="clear" w:color="auto" w:fill="auto"/>
            <w:noWrap/>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 </w:t>
            </w:r>
          </w:p>
        </w:tc>
        <w:tc>
          <w:tcPr>
            <w:tcW w:w="389"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349" w:type="dxa"/>
            <w:tcBorders>
              <w:top w:val="nil"/>
              <w:left w:val="nil"/>
              <w:bottom w:val="nil"/>
              <w:right w:val="single" w:color="auto" w:sz="4" w:space="0"/>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95" w:type="dxa"/>
            <w:tcBorders>
              <w:top w:val="nil"/>
              <w:left w:val="nil"/>
              <w:bottom w:val="nil"/>
              <w:right w:val="single" w:color="auto" w:sz="4" w:space="0"/>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26" w:type="dxa"/>
            <w:tcBorders>
              <w:top w:val="nil"/>
              <w:left w:val="nil"/>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291" w:type="dxa"/>
            <w:tcBorders>
              <w:top w:val="nil"/>
              <w:left w:val="nil"/>
              <w:bottom w:val="nil"/>
              <w:right w:val="single" w:color="auto" w:sz="4" w:space="0"/>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803" w:type="dxa"/>
            <w:tcBorders>
              <w:top w:val="nil"/>
              <w:left w:val="nil"/>
              <w:bottom w:val="single" w:color="auto" w:sz="4" w:space="0"/>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08" w:type="dxa"/>
            <w:tcBorders>
              <w:top w:val="nil"/>
              <w:left w:val="single" w:color="auto" w:sz="4" w:space="0"/>
              <w:bottom w:val="single" w:color="auto" w:sz="4" w:space="0"/>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08"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90"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35"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70"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863"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96"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67" w:type="dxa"/>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36" w:type="dxa"/>
            <w:gridSpan w:val="2"/>
            <w:tcBorders>
              <w:top w:val="nil"/>
              <w:left w:val="single" w:color="auto" w:sz="4" w:space="0"/>
              <w:bottom w:val="nil"/>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81"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78"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58"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911"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23" w:type="dxa"/>
            <w:gridSpan w:val="2"/>
            <w:tcBorders>
              <w:top w:val="nil"/>
              <w:left w:val="nil"/>
              <w:bottom w:val="nil"/>
              <w:right w:val="double" w:color="auto" w:sz="6"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r>
      <w:tr>
        <w:tblPrEx>
          <w:tblCellMar>
            <w:top w:w="0" w:type="dxa"/>
            <w:left w:w="108" w:type="dxa"/>
            <w:bottom w:w="0" w:type="dxa"/>
            <w:right w:w="108" w:type="dxa"/>
          </w:tblCellMar>
        </w:tblPrEx>
        <w:trPr>
          <w:gridAfter w:val="1"/>
          <w:wAfter w:w="211" w:type="dxa"/>
          <w:trHeight w:val="2438" w:hRule="atLeast"/>
        </w:trPr>
        <w:tc>
          <w:tcPr>
            <w:tcW w:w="602" w:type="dxa"/>
            <w:tcBorders>
              <w:top w:val="nil"/>
              <w:left w:val="double" w:color="auto" w:sz="6" w:space="0"/>
              <w:bottom w:val="nil"/>
              <w:right w:val="nil"/>
            </w:tcBorders>
            <w:shd w:val="clear" w:color="auto" w:fill="auto"/>
            <w:noWrap/>
          </w:tcPr>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1.</w:t>
            </w: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2.</w:t>
            </w: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3.</w:t>
            </w: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4.</w:t>
            </w:r>
          </w:p>
          <w:p>
            <w:pPr>
              <w:spacing w:after="0" w:line="240" w:lineRule="auto"/>
              <w:jc w:val="center"/>
              <w:rPr>
                <w:rFonts w:ascii="Bookman Old Style" w:hAnsi="Bookman Old Style" w:eastAsia="Times New Roman" w:cs="Calibri"/>
                <w:bCs/>
                <w:color w:val="000000" w:themeColor="text1"/>
                <w:sz w:val="14"/>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5.</w:t>
            </w: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r>
              <w:rPr>
                <w:rFonts w:ascii="Bookman Old Style" w:hAnsi="Bookman Old Style" w:eastAsia="Times New Roman" w:cs="Calibri"/>
                <w:bCs/>
                <w:color w:val="000000" w:themeColor="text1"/>
                <w:sz w:val="12"/>
                <w:szCs w:val="12"/>
                <w:lang w:val="en-GB" w:eastAsia="en-GB"/>
                <w14:textFill>
                  <w14:solidFill>
                    <w14:schemeClr w14:val="tx1"/>
                  </w14:solidFill>
                </w14:textFill>
              </w:rPr>
              <w:t>6.</w:t>
            </w:r>
          </w:p>
          <w:p>
            <w:pPr>
              <w:spacing w:after="0" w:line="240" w:lineRule="auto"/>
              <w:jc w:val="center"/>
              <w:rPr>
                <w:rFonts w:ascii="Bookman Old Style" w:hAnsi="Bookman Old Style" w:eastAsia="Times New Roman" w:cs="Calibri"/>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8"/>
                <w:szCs w:val="12"/>
                <w:lang w:val="en-GB" w:eastAsia="en-GB"/>
                <w14:textFill>
                  <w14:solidFill>
                    <w14:schemeClr w14:val="tx1"/>
                  </w14:solidFill>
                </w14:textFill>
              </w:rPr>
            </w:pPr>
          </w:p>
          <w:p>
            <w:pPr>
              <w:spacing w:after="0" w:line="240" w:lineRule="auto"/>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4"/>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Cs/>
                <w:color w:val="000000" w:themeColor="text1"/>
                <w:sz w:val="12"/>
                <w:szCs w:val="12"/>
                <w:lang w:val="en-GB" w:eastAsia="en-GB"/>
                <w14:textFill>
                  <w14:solidFill>
                    <w14:schemeClr w14:val="tx1"/>
                  </w14:solidFill>
                </w14:textFill>
              </w:rPr>
            </w:pPr>
          </w:p>
        </w:tc>
        <w:tc>
          <w:tcPr>
            <w:tcW w:w="2754" w:type="dxa"/>
            <w:vMerge w:val="restart"/>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2"/>
                <w:szCs w:val="12"/>
                <w14:textFill>
                  <w14:solidFill>
                    <w14:schemeClr w14:val="tx1"/>
                  </w14:solidFill>
                </w14:textFill>
              </w:rPr>
            </w:pPr>
            <w:r>
              <w:rPr>
                <w:rFonts w:ascii="Bookman Old Style" w:hAnsi="Bookman Old Style" w:eastAsia="Times New Roman" w:cs="Tahoma"/>
                <w:color w:val="000000" w:themeColor="text1"/>
                <w:sz w:val="12"/>
                <w:szCs w:val="12"/>
                <w14:textFill>
                  <w14:solidFill>
                    <w14:schemeClr w14:val="tx1"/>
                  </w14:solidFill>
                </w14:textFill>
              </w:rPr>
              <w:t>Persentase koperasi aktif</w:t>
            </w:r>
          </w:p>
          <w:p>
            <w:pPr>
              <w:spacing w:after="0" w:line="240" w:lineRule="auto"/>
              <w:rPr>
                <w:rFonts w:ascii="Bookman Old Style" w:hAnsi="Bookman Old Style" w:eastAsia="Times New Roman" w:cs="Tahoma"/>
                <w:color w:val="000000" w:themeColor="text1"/>
                <w:sz w:val="12"/>
                <w:szCs w:val="12"/>
                <w14:textFill>
                  <w14:solidFill>
                    <w14:schemeClr w14:val="tx1"/>
                  </w14:solidFill>
                </w14:textFill>
              </w:rPr>
            </w:pPr>
          </w:p>
          <w:p>
            <w:pPr>
              <w:spacing w:after="0" w:line="240" w:lineRule="auto"/>
              <w:rPr>
                <w:rFonts w:ascii="Bookman Old Style" w:hAnsi="Bookman Old Style" w:eastAsia="Times New Roman" w:cs="Tahoma"/>
                <w:color w:val="000000" w:themeColor="text1"/>
                <w:sz w:val="12"/>
                <w:szCs w:val="12"/>
                <w14:textFill>
                  <w14:solidFill>
                    <w14:schemeClr w14:val="tx1"/>
                  </w14:solidFill>
                </w14:textFill>
              </w:rPr>
            </w:pPr>
            <w:r>
              <w:rPr>
                <w:rFonts w:ascii="Bookman Old Style" w:hAnsi="Bookman Old Style" w:eastAsia="Times New Roman" w:cs="Tahoma"/>
                <w:color w:val="000000" w:themeColor="text1"/>
                <w:sz w:val="12"/>
                <w:szCs w:val="12"/>
                <w14:textFill>
                  <w14:solidFill>
                    <w14:schemeClr w14:val="tx1"/>
                  </w14:solidFill>
                </w14:textFill>
              </w:rPr>
              <w:t>Jumlah BPR</w:t>
            </w:r>
          </w:p>
          <w:p>
            <w:pPr>
              <w:tabs>
                <w:tab w:val="left" w:pos="1701"/>
              </w:tabs>
              <w:autoSpaceDE w:val="0"/>
              <w:autoSpaceDN w:val="0"/>
              <w:adjustRightInd w:val="0"/>
              <w:spacing w:before="240" w:after="0" w:line="240" w:lineRule="auto"/>
              <w:jc w:val="both"/>
              <w:rPr>
                <w:rFonts w:ascii="Bookman Old Style" w:hAnsi="Bookman Old Style" w:eastAsia="Times New Roman" w:cs="Tahoma"/>
                <w:color w:val="000000" w:themeColor="text1"/>
                <w:sz w:val="12"/>
                <w:szCs w:val="12"/>
                <w14:textFill>
                  <w14:solidFill>
                    <w14:schemeClr w14:val="tx1"/>
                  </w14:solidFill>
                </w14:textFill>
              </w:rPr>
            </w:pPr>
            <w:r>
              <w:rPr>
                <w:rFonts w:ascii="Bookman Old Style" w:hAnsi="Bookman Old Style" w:eastAsia="Times New Roman" w:cs="Tahoma"/>
                <w:color w:val="000000" w:themeColor="text1"/>
                <w:sz w:val="12"/>
                <w:szCs w:val="12"/>
                <w14:textFill>
                  <w14:solidFill>
                    <w14:schemeClr w14:val="tx1"/>
                  </w14:solidFill>
                </w14:textFill>
              </w:rPr>
              <w:t>Jumlah Koperasi dan Usaha Mikro dan Kecil</w:t>
            </w:r>
          </w:p>
          <w:p>
            <w:pPr>
              <w:tabs>
                <w:tab w:val="left" w:pos="1701"/>
              </w:tabs>
              <w:autoSpaceDE w:val="0"/>
              <w:autoSpaceDN w:val="0"/>
              <w:adjustRightInd w:val="0"/>
              <w:spacing w:before="240" w:after="0" w:line="240" w:lineRule="auto"/>
              <w:jc w:val="both"/>
              <w:rPr>
                <w:rFonts w:ascii="Bookman Old Style" w:hAnsi="Bookman Old Style" w:eastAsia="Times New Roman" w:cs="Tahoma"/>
                <w:color w:val="000000" w:themeColor="text1"/>
                <w:sz w:val="12"/>
                <w:szCs w:val="12"/>
                <w14:textFill>
                  <w14:solidFill>
                    <w14:schemeClr w14:val="tx1"/>
                  </w14:solidFill>
                </w14:textFill>
              </w:rPr>
            </w:pPr>
            <w:r>
              <w:rPr>
                <w:rFonts w:ascii="Bookman Old Style" w:hAnsi="Bookman Old Style" w:eastAsia="Times New Roman" w:cs="Times New Roman"/>
                <w:sz w:val="12"/>
                <w:szCs w:val="12"/>
              </w:rPr>
              <w:t>Kontribusi sektor Perdagangan terhadap PDRB</w:t>
            </w:r>
            <w:r>
              <w:rPr>
                <w:rFonts w:ascii="Bookman Old Style" w:hAnsi="Bookman Old Style" w:eastAsia="Times New Roman" w:cs="Tahoma"/>
                <w:color w:val="000000" w:themeColor="text1"/>
                <w:sz w:val="12"/>
                <w:szCs w:val="12"/>
                <w14:textFill>
                  <w14:solidFill>
                    <w14:schemeClr w14:val="tx1"/>
                  </w14:solidFill>
                </w14:textFill>
              </w:rPr>
              <w:t xml:space="preserve"> </w:t>
            </w:r>
          </w:p>
          <w:p>
            <w:pPr>
              <w:spacing w:after="0" w:line="240" w:lineRule="auto"/>
              <w:rPr>
                <w:rFonts w:ascii="Bookman Old Style" w:hAnsi="Bookman Old Style" w:eastAsia="Times New Roman" w:cs="Tahoma"/>
                <w:color w:val="000000" w:themeColor="text1"/>
                <w:sz w:val="12"/>
                <w:szCs w:val="12"/>
                <w14:textFill>
                  <w14:solidFill>
                    <w14:schemeClr w14:val="tx1"/>
                  </w14:solidFill>
                </w14:textFill>
              </w:rPr>
            </w:pPr>
            <w:r>
              <w:rPr>
                <w:rFonts w:ascii="Bookman Old Style" w:hAnsi="Bookman Old Style" w:eastAsia="Times New Roman" w:cs="Tahoma"/>
                <w:color w:val="000000" w:themeColor="text1"/>
                <w:sz w:val="12"/>
                <w:szCs w:val="12"/>
                <w14:textFill>
                  <w14:solidFill>
                    <w14:schemeClr w14:val="tx1"/>
                  </w14:solidFill>
                </w14:textFill>
              </w:rPr>
              <w:t>Cakupan bina kelompok pedagang/usaha informal</w:t>
            </w:r>
          </w:p>
          <w:p>
            <w:pPr>
              <w:spacing w:after="0" w:line="240" w:lineRule="auto"/>
              <w:rPr>
                <w:rFonts w:ascii="Bookman Old Style" w:hAnsi="Bookman Old Style" w:eastAsia="Times New Roman" w:cs="Tahoma"/>
                <w:color w:val="000000" w:themeColor="text1"/>
                <w:sz w:val="12"/>
                <w:szCs w:val="12"/>
                <w14:textFill>
                  <w14:solidFill>
                    <w14:schemeClr w14:val="tx1"/>
                  </w14:solidFill>
                </w14:textFill>
              </w:rPr>
            </w:pPr>
          </w:p>
          <w:p>
            <w:pPr>
              <w:spacing w:after="0" w:line="36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sz w:val="12"/>
                <w:szCs w:val="12"/>
              </w:rPr>
              <w:t>Persentase kepatuhan Pelaku Usaha</w:t>
            </w:r>
          </w:p>
        </w:tc>
        <w:tc>
          <w:tcPr>
            <w:tcW w:w="738" w:type="dxa"/>
            <w:gridSpan w:val="2"/>
            <w:tcBorders>
              <w:top w:val="nil"/>
              <w:left w:val="nil"/>
              <w:bottom w:val="nil"/>
              <w:right w:val="single" w:color="000000"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w:t>
            </w:r>
          </w:p>
        </w:tc>
        <w:tc>
          <w:tcPr>
            <w:tcW w:w="695" w:type="dxa"/>
            <w:tcBorders>
              <w:top w:val="nil"/>
              <w:left w:val="single" w:color="auto" w:sz="4" w:space="0"/>
              <w:bottom w:val="nil"/>
              <w:right w:val="single" w:color="auto" w:sz="4" w:space="0"/>
            </w:tcBorders>
            <w:shd w:val="clear" w:color="auto" w:fill="auto"/>
          </w:tcPr>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6"/>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8"/>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b/>
                <w:bCs/>
                <w:color w:val="000000" w:themeColor="text1"/>
                <w:sz w:val="16"/>
                <w:szCs w:val="12"/>
                <w:lang w:val="en-GB" w:eastAsia="en-GB"/>
                <w14:textFill>
                  <w14:solidFill>
                    <w14:schemeClr w14:val="tx1"/>
                  </w14:solidFill>
                </w14:textFill>
              </w:rPr>
              <w:t>√</w:t>
            </w:r>
          </w:p>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917" w:type="dxa"/>
            <w:gridSpan w:val="2"/>
            <w:tcBorders>
              <w:top w:val="nil"/>
              <w:left w:val="single" w:color="auto" w:sz="4" w:space="0"/>
              <w:bottom w:val="nil"/>
              <w:right w:val="single" w:color="000000" w:sz="4" w:space="0"/>
            </w:tcBorders>
            <w:shd w:val="clear" w:color="auto" w:fill="auto"/>
          </w:tcPr>
          <w:p>
            <w:pPr>
              <w:spacing w:after="0" w:line="240" w:lineRule="auto"/>
              <w:jc w:val="center"/>
              <w:rPr>
                <w:rFonts w:ascii="Bookman Old Style" w:hAnsi="Bookman Old Style" w:eastAsia="Times New Roman" w:cs="Calibri"/>
                <w:b/>
                <w:bCs/>
                <w:color w:val="000000" w:themeColor="text1"/>
                <w:sz w:val="12"/>
                <w:szCs w:val="12"/>
                <w:lang w:val="en-GB" w:eastAsia="en-GB"/>
                <w14:textFill>
                  <w14:solidFill>
                    <w14:schemeClr w14:val="tx1"/>
                  </w14:solidFill>
                </w14:textFill>
              </w:rPr>
            </w:pPr>
            <w:r>
              <w:rPr>
                <w:rFonts w:ascii="Bookman Old Style" w:hAnsi="Bookman Old Style" w:eastAsia="Times New Roman" w:cs="Calibri"/>
                <w:b/>
                <w:bCs/>
                <w:color w:val="000000" w:themeColor="text1"/>
                <w:sz w:val="12"/>
                <w:szCs w:val="12"/>
                <w:lang w:val="en-GB" w:eastAsia="en-GB"/>
                <w14:textFill>
                  <w14:solidFill>
                    <w14:schemeClr w14:val="tx1"/>
                  </w14:solidFill>
                </w14:textFill>
              </w:rPr>
              <w:t>-</w:t>
            </w:r>
          </w:p>
        </w:tc>
        <w:tc>
          <w:tcPr>
            <w:tcW w:w="803" w:type="dxa"/>
            <w:tcBorders>
              <w:top w:val="single" w:color="auto" w:sz="4" w:space="0"/>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93,34</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16.087</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n/a</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85</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08" w:type="dxa"/>
            <w:tcBorders>
              <w:top w:val="single" w:color="auto" w:sz="4" w:space="0"/>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93,47</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17.210</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n/a</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85</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08"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94,34</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18.242</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n/a</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9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94,66</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19.270</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7,69</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85</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3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94,90</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20.304</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7,81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85</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7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71,96</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11.380</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4,3</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28</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863"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76,72</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15.016</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7,46</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r>
              <w:rPr>
                <w:rFonts w:ascii="Bookman Old Style" w:hAnsi="Bookman Old Style" w:eastAsia="Times New Roman" w:cs="Arial"/>
                <w:color w:val="000000" w:themeColor="text1"/>
                <w:sz w:val="12"/>
                <w:szCs w:val="12"/>
                <w14:textFill>
                  <w14:solidFill>
                    <w14:schemeClr w14:val="tx1"/>
                  </w14:solidFill>
                </w14:textFill>
              </w:rPr>
              <w:t>28</w:t>
            </w: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69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81,37</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18.631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7,53</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32</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767"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81,48</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20.020</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7,69</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30</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tc>
        <w:tc>
          <w:tcPr>
            <w:tcW w:w="736" w:type="dxa"/>
            <w:gridSpan w:val="2"/>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82,42</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4.102</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7,81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31</w:t>
            </w: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p>
          <w:p>
            <w:pPr>
              <w:spacing w:after="0" w:line="240" w:lineRule="auto"/>
              <w:jc w:val="center"/>
              <w:rPr>
                <w:rFonts w:ascii="Bookman Old Style" w:hAnsi="Bookman Old Style" w:eastAsia="Times New Roman" w:cs="Calibri"/>
                <w:b/>
                <w:color w:val="000000" w:themeColor="text1"/>
                <w:sz w:val="12"/>
                <w:szCs w:val="12"/>
                <w:lang w:val="en-GB" w:eastAsia="en-GB"/>
                <w14:textFill>
                  <w14:solidFill>
                    <w14:schemeClr w14:val="tx1"/>
                  </w14:solidFill>
                </w14:textFill>
              </w:rPr>
            </w:pPr>
            <w:r>
              <w:rPr>
                <w:rFonts w:ascii="Bookman Old Style" w:hAnsi="Bookman Old Style" w:eastAsia="Times New Roman" w:cs="Calibri"/>
                <w:b/>
                <w:color w:val="000000" w:themeColor="text1"/>
                <w:sz w:val="12"/>
                <w:szCs w:val="12"/>
                <w:lang w:val="en-GB" w:eastAsia="en-GB"/>
                <w14:textFill>
                  <w14:solidFill>
                    <w14:schemeClr w14:val="tx1"/>
                  </w14:solidFill>
                </w14:textFill>
              </w:rPr>
              <w:t>100</w:t>
            </w:r>
          </w:p>
        </w:tc>
        <w:tc>
          <w:tcPr>
            <w:tcW w:w="681"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61,58</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9.592</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18,55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678"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66,34</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13.103</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18,55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658"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77,88</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18.846</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22,55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n/a</w:t>
            </w:r>
          </w:p>
        </w:tc>
        <w:tc>
          <w:tcPr>
            <w:tcW w:w="911"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70,96</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17.878</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Arial"/>
                <w:color w:val="000000" w:themeColor="text1"/>
                <w:sz w:val="12"/>
                <w:szCs w:val="12"/>
                <w:lang w:eastAsia="zh-CN"/>
                <w14:textFill>
                  <w14:solidFill>
                    <w14:schemeClr w14:val="tx1"/>
                  </w14:solidFill>
                </w14:textFill>
              </w:rPr>
            </w:pPr>
            <w:r>
              <w:rPr>
                <w:rFonts w:ascii="Bookman Old Style" w:hAnsi="Bookman Old Style" w:eastAsia="Times New Roman" w:cs="Arial"/>
                <w:color w:val="000000" w:themeColor="text1"/>
                <w:sz w:val="12"/>
                <w:szCs w:val="12"/>
                <w:lang w:eastAsia="zh-CN"/>
                <w14:textFill>
                  <w14:solidFill>
                    <w14:schemeClr w14:val="tx1"/>
                  </w14:solidFill>
                </w14:textFill>
              </w:rPr>
              <w:t>7,69</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22,55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tc>
        <w:tc>
          <w:tcPr>
            <w:tcW w:w="723" w:type="dxa"/>
            <w:gridSpan w:val="2"/>
            <w:tcBorders>
              <w:top w:val="nil"/>
              <w:left w:val="nil"/>
              <w:bottom w:val="nil"/>
              <w:right w:val="double" w:color="auto" w:sz="6"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71,88</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1.846</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7,81</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21,55</w:t>
            </w: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p>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100</w:t>
            </w:r>
          </w:p>
        </w:tc>
      </w:tr>
      <w:tr>
        <w:tblPrEx>
          <w:tblCellMar>
            <w:top w:w="0" w:type="dxa"/>
            <w:left w:w="108" w:type="dxa"/>
            <w:bottom w:w="0" w:type="dxa"/>
            <w:right w:w="108" w:type="dxa"/>
          </w:tblCellMar>
        </w:tblPrEx>
        <w:trPr>
          <w:gridAfter w:val="1"/>
          <w:wAfter w:w="211" w:type="dxa"/>
          <w:trHeight w:val="74" w:hRule="atLeast"/>
        </w:trPr>
        <w:tc>
          <w:tcPr>
            <w:tcW w:w="602"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2754"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color w:val="000000" w:themeColor="text1"/>
                <w:sz w:val="12"/>
                <w:szCs w:val="12"/>
                <w:lang w:val="en-GB" w:eastAsia="en-GB"/>
                <w14:textFill>
                  <w14:solidFill>
                    <w14:schemeClr w14:val="tx1"/>
                  </w14:solidFill>
                </w14:textFill>
              </w:rPr>
            </w:pPr>
          </w:p>
        </w:tc>
        <w:tc>
          <w:tcPr>
            <w:tcW w:w="389" w:type="dxa"/>
            <w:tcBorders>
              <w:top w:val="nil"/>
              <w:left w:val="nil"/>
              <w:bottom w:val="single" w:color="auto" w:sz="4" w:space="0"/>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349" w:type="dxa"/>
            <w:tcBorders>
              <w:top w:val="nil"/>
              <w:left w:val="nil"/>
              <w:bottom w:val="single" w:color="auto" w:sz="4" w:space="0"/>
              <w:right w:val="single" w:color="auto" w:sz="4" w:space="0"/>
            </w:tcBorders>
            <w:shd w:val="clear" w:color="auto" w:fill="auto"/>
            <w:noWrap/>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9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b/>
                <w:bCs/>
                <w:color w:val="000000" w:themeColor="text1"/>
                <w:sz w:val="16"/>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626" w:type="dxa"/>
            <w:tcBorders>
              <w:top w:val="nil"/>
              <w:left w:val="nil"/>
              <w:bottom w:val="single" w:color="auto" w:sz="4" w:space="0"/>
              <w:right w:val="nil"/>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291" w:type="dxa"/>
            <w:tcBorders>
              <w:top w:val="nil"/>
              <w:left w:val="nil"/>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p>
        </w:tc>
        <w:tc>
          <w:tcPr>
            <w:tcW w:w="803"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0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0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9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3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7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863"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9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6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36" w:type="dxa"/>
            <w:gridSpan w:val="2"/>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8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7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65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91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 </w:t>
            </w:r>
          </w:p>
        </w:tc>
        <w:tc>
          <w:tcPr>
            <w:tcW w:w="723" w:type="dxa"/>
            <w:gridSpan w:val="2"/>
            <w:tcBorders>
              <w:top w:val="nil"/>
              <w:left w:val="nil"/>
              <w:bottom w:val="single" w:color="auto" w:sz="4" w:space="0"/>
              <w:right w:val="double" w:color="auto" w:sz="6" w:space="0"/>
            </w:tcBorders>
            <w:shd w:val="clear" w:color="auto" w:fill="auto"/>
            <w:noWrap/>
          </w:tcPr>
          <w:p>
            <w:pPr>
              <w:tabs>
                <w:tab w:val="center" w:pos="409"/>
                <w:tab w:val="left" w:pos="810"/>
              </w:tabs>
              <w:spacing w:after="0" w:line="240" w:lineRule="auto"/>
              <w:rPr>
                <w:rFonts w:ascii="Bookman Old Style" w:hAnsi="Bookman Old Style" w:eastAsia="Times New Roman" w:cs="Calibri"/>
                <w:color w:val="000000" w:themeColor="text1"/>
                <w:sz w:val="12"/>
                <w:szCs w:val="12"/>
                <w:lang w:val="en-GB" w:eastAsia="en-GB"/>
                <w14:textFill>
                  <w14:solidFill>
                    <w14:schemeClr w14:val="tx1"/>
                  </w14:solidFill>
                </w14:textFill>
              </w:rPr>
            </w:pPr>
            <w:r>
              <w:rPr>
                <w:rFonts w:ascii="Bookman Old Style" w:hAnsi="Bookman Old Style" w:eastAsia="Times New Roman" w:cs="Calibri"/>
                <w:color w:val="000000" w:themeColor="text1"/>
                <w:sz w:val="12"/>
                <w:szCs w:val="12"/>
                <w:lang w:val="en-GB" w:eastAsia="en-GB"/>
                <w14:textFill>
                  <w14:solidFill>
                    <w14:schemeClr w14:val="tx1"/>
                  </w14:solidFill>
                </w14:textFill>
              </w:rPr>
              <w:tab/>
            </w:r>
            <w:r>
              <w:rPr>
                <w:rFonts w:ascii="Bookman Old Style" w:hAnsi="Bookman Old Style" w:eastAsia="Times New Roman" w:cs="Calibri"/>
                <w:color w:val="000000" w:themeColor="text1"/>
                <w:sz w:val="12"/>
                <w:szCs w:val="12"/>
                <w:lang w:val="en-GB" w:eastAsia="en-GB"/>
                <w14:textFill>
                  <w14:solidFill>
                    <w14:schemeClr w14:val="tx1"/>
                  </w14:solidFill>
                </w14:textFill>
              </w:rPr>
              <w:t> </w:t>
            </w:r>
            <w:r>
              <w:rPr>
                <w:rFonts w:ascii="Bookman Old Style" w:hAnsi="Bookman Old Style" w:eastAsia="Times New Roman" w:cs="Calibri"/>
                <w:color w:val="000000" w:themeColor="text1"/>
                <w:sz w:val="12"/>
                <w:szCs w:val="12"/>
                <w:lang w:val="en-GB" w:eastAsia="en-GB"/>
                <w14:textFill>
                  <w14:solidFill>
                    <w14:schemeClr w14:val="tx1"/>
                  </w14:solidFill>
                </w14:textFill>
              </w:rPr>
              <w:tab/>
            </w:r>
          </w:p>
        </w:tc>
      </w:tr>
    </w:tbl>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sectPr>
          <w:pgSz w:w="20160" w:h="12240" w:orient="landscape"/>
          <w:pgMar w:top="1134" w:right="2098" w:bottom="1701" w:left="1134" w:header="720" w:footer="2268" w:gutter="0"/>
          <w:cols w:space="720" w:num="1"/>
          <w:docGrid w:linePitch="326" w:charSpace="0"/>
        </w:sectPr>
      </w:pPr>
    </w:p>
    <w:p>
      <w:pPr>
        <w:tabs>
          <w:tab w:val="left" w:pos="1418"/>
          <w:tab w:val="left" w:pos="2268"/>
        </w:tabs>
        <w:spacing w:after="0" w:line="360" w:lineRule="auto"/>
        <w:ind w:left="567"/>
        <w:jc w:val="both"/>
        <w:rPr>
          <w:rFonts w:ascii="Bookman Old Style" w:hAnsi="Bookman Old Style" w:eastAsia="Times New Roman" w:cs="Tahoma"/>
          <w:bCs/>
          <w:color w:val="000000" w:themeColor="text1"/>
          <w:sz w:val="24"/>
          <w:szCs w:val="24"/>
          <w:lang w:val="en-GB"/>
          <w14:textFill>
            <w14:solidFill>
              <w14:schemeClr w14:val="tx1"/>
            </w14:solidFill>
          </w14:textFill>
        </w:rPr>
      </w:pPr>
      <w:r>
        <w:rPr>
          <w:rFonts w:ascii="Bookman Old Style" w:hAnsi="Bookman Old Style" w:eastAsia="Times New Roman" w:cs="Times New Roman"/>
          <w:bCs/>
          <w:color w:val="000000" w:themeColor="text1"/>
          <w:sz w:val="24"/>
          <w:szCs w:val="20"/>
          <w14:textFill>
            <w14:solidFill>
              <w14:schemeClr w14:val="tx1"/>
            </w14:solidFill>
          </w14:textFill>
        </w:rPr>
        <w:tab/>
      </w:r>
      <w:r>
        <w:rPr>
          <w:rFonts w:ascii="Bookman Old Style" w:hAnsi="Bookman Old Style" w:eastAsia="Times New Roman" w:cs="Times New Roman"/>
          <w:bCs/>
          <w:color w:val="000000" w:themeColor="text1"/>
          <w:sz w:val="24"/>
          <w:szCs w:val="20"/>
          <w14:textFill>
            <w14:solidFill>
              <w14:schemeClr w14:val="tx1"/>
            </w14:solidFill>
          </w14:textFill>
        </w:rPr>
        <w:t>Berdasarkan tabel diatas, Pencapaian kinerja pelayanan Dinas Perdagangan, Koperasi dan Usaha Kecil dan Menengah Kabupaten Kepulauan Selayar Tahun 2016-2020 terlihat bahwa yang sudah mencapai target adalah pencapaian</w:t>
      </w:r>
      <w:r>
        <w:rPr>
          <w:rFonts w:ascii="Bookman Old Style" w:hAnsi="Bookman Old Style" w:eastAsia="Times New Roman" w:cs="Tahoma"/>
          <w:bCs/>
          <w:color w:val="000000" w:themeColor="text1"/>
          <w:sz w:val="24"/>
          <w:szCs w:val="24"/>
          <w:lang w:val="en-GB"/>
          <w14:textFill>
            <w14:solidFill>
              <w14:schemeClr w14:val="tx1"/>
            </w14:solidFill>
          </w14:textFill>
        </w:rPr>
        <w:t xml:space="preserve"> Jumlah koperasi aktif sebanyak 136 koperasi dari 165 koperasi yang ada.</w:t>
      </w:r>
    </w:p>
    <w:p>
      <w:pPr>
        <w:tabs>
          <w:tab w:val="left" w:pos="1418"/>
          <w:tab w:val="left" w:pos="2268"/>
        </w:tabs>
        <w:spacing w:after="0" w:line="360" w:lineRule="auto"/>
        <w:ind w:left="567"/>
        <w:jc w:val="both"/>
        <w:rPr>
          <w:rFonts w:ascii="Bookman Old Style" w:hAnsi="Bookman Old Style" w:eastAsia="Times New Roman" w:cs="Tahoma"/>
          <w:bCs/>
          <w:color w:val="000000" w:themeColor="text1"/>
          <w:sz w:val="24"/>
          <w:szCs w:val="24"/>
          <w:lang w:val="en-GB"/>
          <w14:textFill>
            <w14:solidFill>
              <w14:schemeClr w14:val="tx1"/>
            </w14:solidFill>
          </w14:textFill>
        </w:rPr>
      </w:pPr>
      <w:r>
        <w:rPr>
          <w:rFonts w:ascii="Bookman Old Style" w:hAnsi="Bookman Old Style" w:eastAsia="Times New Roman" w:cs="Tahoma"/>
          <w:bCs/>
          <w:color w:val="000000" w:themeColor="text1"/>
          <w:sz w:val="24"/>
          <w:szCs w:val="24"/>
          <w:lang w:val="en-GB"/>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Persentase Usaha Mikro Kecil dan Menengah sangat baik yakni 100 persen ini menunjukkan aktifitas para pelaku usaha mikro kecil dan menengah, mampu bertahan dimasa krisis akibat pandemi Covid – 19.</w:t>
      </w:r>
    </w:p>
    <w:p>
      <w:pPr>
        <w:tabs>
          <w:tab w:val="left" w:pos="1418"/>
          <w:tab w:val="left" w:pos="2268"/>
        </w:tabs>
        <w:spacing w:after="0" w:line="360" w:lineRule="auto"/>
        <w:ind w:left="567"/>
        <w:jc w:val="both"/>
        <w:rPr>
          <w:rFonts w:ascii="Bookman Old Style" w:hAnsi="Bookman Old Style" w:eastAsia="Times New Roman" w:cs="Tahoma"/>
          <w:bCs/>
          <w:color w:val="000000" w:themeColor="text1"/>
          <w:sz w:val="24"/>
          <w:szCs w:val="24"/>
          <w:lang w:val="en-GB"/>
          <w14:textFill>
            <w14:solidFill>
              <w14:schemeClr w14:val="tx1"/>
            </w14:solidFill>
          </w14:textFill>
        </w:rPr>
      </w:pPr>
      <w:r>
        <w:rPr>
          <w:rFonts w:ascii="Bookman Old Style" w:hAnsi="Bookman Old Style" w:eastAsia="Times New Roman" w:cs="Tahoma"/>
          <w:bCs/>
          <w:color w:val="000000" w:themeColor="text1"/>
          <w:sz w:val="24"/>
          <w:szCs w:val="24"/>
          <w:lang w:val="en-GB"/>
          <w14:textFill>
            <w14:solidFill>
              <w14:schemeClr w14:val="tx1"/>
            </w14:solidFill>
          </w14:textFill>
        </w:rPr>
        <w:tab/>
      </w:r>
      <w:r>
        <w:rPr>
          <w:rFonts w:ascii="Bookman Old Style" w:hAnsi="Bookman Old Style" w:eastAsia="Arial" w:cs="Tahoma"/>
          <w:color w:val="000000" w:themeColor="text1"/>
          <w:sz w:val="24"/>
          <w:szCs w:val="20"/>
          <w14:textFill>
            <w14:solidFill>
              <w14:schemeClr w14:val="tx1"/>
            </w14:solidFill>
          </w14:textFill>
        </w:rPr>
        <w:t>Persentase BPR/LKM aktif juga sangat baik yakni 100 persen ini menunjukkan aktifitas BPR di Kabupaten Kepulauan Selayar mampu bertahan dimasa krisis akibat pandemi Covid – 19.</w:t>
      </w:r>
    </w:p>
    <w:p>
      <w:pPr>
        <w:tabs>
          <w:tab w:val="left" w:pos="1418"/>
          <w:tab w:val="left" w:pos="2268"/>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Selain pembinaan yang selama ini di laksanakan oleh Dinas Perdagangan, Koperasi dan Usaha Kecil dan Menengah bidang pembinaan UKM, juga tidak kalah pentingnya untuk diperhatikan adalah pengembangan wirausaha baru. Bidang pembinaan UKM terus mendorong wirausaha baru agar menjadi lokomotif pengerak perekonomian daerah serta berperan dalam menanggulangi pengangguran dan menghambat urbanisasi.</w:t>
      </w:r>
    </w:p>
    <w:p>
      <w:pPr>
        <w:tabs>
          <w:tab w:val="left" w:pos="1418"/>
          <w:tab w:val="left" w:pos="2268"/>
        </w:tabs>
        <w:spacing w:after="0" w:line="360" w:lineRule="auto"/>
        <w:ind w:left="567"/>
        <w:jc w:val="both"/>
        <w:rPr>
          <w:rFonts w:ascii="Bookman Old Style" w:hAnsi="Bookman Old Style" w:eastAsia="Times New Roman" w:cs="Tahoma"/>
          <w:bCs/>
          <w:color w:val="000000" w:themeColor="text1"/>
          <w:sz w:val="24"/>
          <w:szCs w:val="24"/>
          <w:lang w:val="en-GB"/>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Data Pelaku UKM yang produktif </w:t>
      </w:r>
      <w:r>
        <w:rPr>
          <w:rFonts w:ascii="Bookman Old Style" w:hAnsi="Bookman Old Style" w:eastAsia="Times New Roman" w:cs="Tahoma"/>
          <w:color w:val="000000" w:themeColor="text1"/>
          <w:sz w:val="24"/>
          <w:szCs w:val="18"/>
          <w:lang w:val="zh-CN"/>
          <w14:textFill>
            <w14:solidFill>
              <w14:schemeClr w14:val="tx1"/>
            </w14:solidFill>
          </w14:textFill>
        </w:rPr>
        <w:t>sebanyak 3.127 Orang dan t</w:t>
      </w:r>
      <w:r>
        <w:rPr>
          <w:rFonts w:ascii="Bookman Old Style" w:hAnsi="Bookman Old Style" w:eastAsia="Times New Roman" w:cs="Tahoma"/>
          <w:color w:val="000000" w:themeColor="text1"/>
          <w:szCs w:val="16"/>
          <w:lang w:val="zh-CN"/>
          <w14:textFill>
            <w14:solidFill>
              <w14:schemeClr w14:val="tx1"/>
            </w14:solidFill>
          </w14:textFill>
        </w:rPr>
        <w:t xml:space="preserve">otal </w:t>
      </w:r>
      <w:r>
        <w:rPr>
          <w:rFonts w:ascii="Bookman Old Style" w:hAnsi="Bookman Old Style" w:eastAsia="Times New Roman" w:cs="Tahoma"/>
          <w:color w:val="000000" w:themeColor="text1"/>
          <w:sz w:val="24"/>
          <w:szCs w:val="20"/>
          <w14:textFill>
            <w14:solidFill>
              <w14:schemeClr w14:val="tx1"/>
            </w14:solidFill>
          </w14:textFill>
        </w:rPr>
        <w:t>Keseluruhan Jumlah Penerima Bantuan dari Tahun 2017-2020 Sebanyak 403 Kelompok, Dengan Jumlah Unit Sebanyak 1.732 Unit Bantuan Peralatan.</w:t>
      </w:r>
    </w:p>
    <w:p>
      <w:pPr>
        <w:tabs>
          <w:tab w:val="left" w:pos="1418"/>
          <w:tab w:val="left" w:pos="2268"/>
        </w:tabs>
        <w:spacing w:after="0" w:line="360" w:lineRule="auto"/>
        <w:ind w:left="567"/>
        <w:jc w:val="both"/>
        <w:rPr>
          <w:rFonts w:ascii="Bookman Old Style" w:hAnsi="Bookman Old Style" w:eastAsia="Times New Roman" w:cs="Tahoma"/>
          <w:bCs/>
          <w:color w:val="000000" w:themeColor="text1"/>
          <w:sz w:val="24"/>
          <w:szCs w:val="24"/>
          <w:lang w:val="en-GB"/>
          <w14:textFill>
            <w14:solidFill>
              <w14:schemeClr w14:val="tx1"/>
            </w14:solidFill>
          </w14:textFill>
        </w:rPr>
      </w:pPr>
      <w:r>
        <w:rPr>
          <w:rFonts w:ascii="Bookman Old Style" w:hAnsi="Bookman Old Style" w:eastAsia="Times New Roman" w:cs="Tahoma"/>
          <w:color w:val="000000" w:themeColor="text1"/>
          <w:sz w:val="24"/>
          <w:szCs w:val="20"/>
          <w:lang w:val="en-GB"/>
          <w14:textFill>
            <w14:solidFill>
              <w14:schemeClr w14:val="tx1"/>
            </w14:solidFill>
          </w14:textFill>
        </w:rPr>
        <w:tab/>
      </w:r>
      <w:r>
        <w:rPr>
          <w:rFonts w:ascii="Bookman Old Style" w:hAnsi="Bookman Old Style" w:eastAsia="Times New Roman" w:cs="Tahoma"/>
          <w:color w:val="000000" w:themeColor="text1"/>
          <w:sz w:val="24"/>
          <w:szCs w:val="20"/>
          <w:lang w:val="en-GB"/>
          <w14:textFill>
            <w14:solidFill>
              <w14:schemeClr w14:val="tx1"/>
            </w14:solidFill>
          </w14:textFill>
        </w:rPr>
        <w:t>Beroperasinya kapal peti kemas yg merupakan sarana logistik tujuan selayar surabaya (pp) yang mengangkut komoditi hasil perikanan, pertanian dan muatan bongkar dari Surabaya berupa bahan pokok dan penting lainnya.</w:t>
      </w:r>
    </w:p>
    <w:p>
      <w:pPr>
        <w:tabs>
          <w:tab w:val="left" w:pos="1418"/>
          <w:tab w:val="left" w:pos="2268"/>
        </w:tabs>
        <w:spacing w:after="0" w:line="360" w:lineRule="auto"/>
        <w:ind w:left="567"/>
        <w:jc w:val="both"/>
        <w:rPr>
          <w:rFonts w:ascii="Bookman Old Style" w:hAnsi="Bookman Old Style" w:eastAsia="Arial" w:cs="Tahoma"/>
          <w:color w:val="000000" w:themeColor="text1"/>
          <w:sz w:val="24"/>
          <w:szCs w:val="20"/>
          <w14:textFill>
            <w14:solidFill>
              <w14:schemeClr w14:val="tx1"/>
            </w14:solidFill>
          </w14:textFill>
        </w:rPr>
      </w:pPr>
      <w:r>
        <w:rPr>
          <w:rFonts w:ascii="Bookman Old Style" w:hAnsi="Bookman Old Style" w:eastAsia="Times New Roman" w:cs="Tahoma"/>
          <w:bCs/>
          <w:color w:val="000000" w:themeColor="text1"/>
          <w:sz w:val="24"/>
          <w:szCs w:val="24"/>
          <w:lang w:val="en-GB"/>
          <w14:textFill>
            <w14:solidFill>
              <w14:schemeClr w14:val="tx1"/>
            </w14:solidFill>
          </w14:textFill>
        </w:rPr>
        <w:tab/>
      </w:r>
      <w:r>
        <w:rPr>
          <w:rFonts w:ascii="Bookman Old Style" w:hAnsi="Bookman Old Style" w:eastAsia="Arial" w:cs="Tahoma"/>
          <w:color w:val="000000" w:themeColor="text1"/>
          <w:sz w:val="24"/>
          <w:szCs w:val="20"/>
          <w14:textFill>
            <w14:solidFill>
              <w14:schemeClr w14:val="tx1"/>
            </w14:solidFill>
          </w14:textFill>
        </w:rPr>
        <w:t>Capaian cakupan bina kelompok pedagang/usaha informal                          di Kabupaten Kepulauan Selayar Tahun 2016 sampai tahun 2020 mengalami peningkatan. Pada tahun 2016 cakupan bina kelompok pedagang/usaha informal di Kabupaten Kepulauan Selayar sebesar 18 dan meningkat menjadi 31 pada tahun 2020. Hal ini disebakan dukungan yang besar pemerintah daerah terhadap pedagang/usaha informal yang ada di daerahnya.</w:t>
      </w:r>
    </w:p>
    <w:p>
      <w:pPr>
        <w:tabs>
          <w:tab w:val="left" w:pos="1418"/>
          <w:tab w:val="left" w:pos="2268"/>
        </w:tabs>
        <w:spacing w:after="0" w:line="360" w:lineRule="auto"/>
        <w:ind w:left="567"/>
        <w:jc w:val="both"/>
        <w:rPr>
          <w:rFonts w:ascii="Bookman Old Style" w:hAnsi="Bookman Old Style" w:eastAsia="Arial" w:cs="Tahoma"/>
          <w:color w:val="000000" w:themeColor="text1"/>
          <w:sz w:val="24"/>
          <w:szCs w:val="20"/>
          <w14:textFill>
            <w14:solidFill>
              <w14:schemeClr w14:val="tx1"/>
            </w14:solidFill>
          </w14:textFill>
        </w:rPr>
      </w:pPr>
      <w:r>
        <w:rPr>
          <w:rFonts w:ascii="Bookman Old Style" w:hAnsi="Bookman Old Style" w:eastAsia="Arial" w:cs="Tahoma"/>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Oleh karena itu, untuk masa mendatang perlu dilakukan perbaikan perencanaan dan pengendalian dalam upaya peningkatan kinerja pada sektor perdagangan, koperasi dan Usaha Kecil dan Menengah</w:t>
      </w:r>
    </w:p>
    <w:p>
      <w:pPr>
        <w:tabs>
          <w:tab w:val="left" w:pos="1418"/>
          <w:tab w:val="left" w:pos="2268"/>
        </w:tabs>
        <w:spacing w:after="0" w:line="360" w:lineRule="auto"/>
        <w:ind w:left="567"/>
        <w:jc w:val="both"/>
        <w:rPr>
          <w:rFonts w:ascii="Bookman Old Style" w:hAnsi="Bookman Old Style" w:eastAsia="Arial" w:cs="Tahoma"/>
          <w:color w:val="000000" w:themeColor="text1"/>
          <w:sz w:val="24"/>
          <w:szCs w:val="20"/>
          <w14:textFill>
            <w14:solidFill>
              <w14:schemeClr w14:val="tx1"/>
            </w14:solidFill>
          </w14:textFill>
        </w:rPr>
      </w:pPr>
      <w:r>
        <w:rPr>
          <w:rFonts w:ascii="Bookman Old Style" w:hAnsi="Bookman Old Style" w:eastAsia="Arial" w:cs="Tahoma"/>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Selanjutnya anggaran dan Realisasi Pendanaan Pelayanan   Dinas </w:t>
      </w:r>
      <w:r>
        <w:rPr>
          <w:rFonts w:ascii="Bookman Old Style" w:hAnsi="Bookman Old Style" w:eastAsia="Times New Roman" w:cs="Times New Roman"/>
          <w:bCs/>
          <w:color w:val="000000" w:themeColor="text1"/>
          <w:sz w:val="24"/>
          <w:szCs w:val="20"/>
          <w14:textFill>
            <w14:solidFill>
              <w14:schemeClr w14:val="tx1"/>
            </w14:solidFill>
          </w14:textFill>
        </w:rPr>
        <w:t xml:space="preserve">Perdagangan, Koperasi, Usaha Kecil dan Menengah </w:t>
      </w:r>
      <w:r>
        <w:rPr>
          <w:rFonts w:ascii="Bookman Old Style" w:hAnsi="Bookman Old Style" w:eastAsia="Times New Roman" w:cs="Times New Roman"/>
          <w:color w:val="000000" w:themeColor="text1"/>
          <w:sz w:val="24"/>
          <w:szCs w:val="20"/>
          <w14:textFill>
            <w14:solidFill>
              <w14:schemeClr w14:val="tx1"/>
            </w14:solidFill>
          </w14:textFill>
        </w:rPr>
        <w:t xml:space="preserve">Kabupaten Kepulauan Selayar Tahun 2016-2020 dapat dilihat pada Tabel T-2.3.16                         </w:t>
      </w:r>
      <w:r>
        <w:rPr>
          <w:rFonts w:ascii="Bookman Old Style" w:hAnsi="Bookman Old Style" w:eastAsia="Times New Roman" w:cs="Tahoma"/>
          <w:color w:val="000000" w:themeColor="text1"/>
          <w:sz w:val="24"/>
          <w:szCs w:val="24"/>
          <w14:textFill>
            <w14:solidFill>
              <w14:schemeClr w14:val="tx1"/>
            </w14:solidFill>
          </w14:textFill>
        </w:rPr>
        <w:t>(T-C. 24)</w:t>
      </w:r>
      <w:r>
        <w:rPr>
          <w:rFonts w:ascii="Bookman Old Style" w:hAnsi="Bookman Old Style" w:eastAsia="Times New Roman" w:cs="Tahoma"/>
          <w:b/>
          <w:color w:val="000000" w:themeColor="text1"/>
          <w:sz w:val="24"/>
          <w:szCs w:val="24"/>
          <w14:textFill>
            <w14:solidFill>
              <w14:schemeClr w14:val="tx1"/>
            </w14:solidFill>
          </w14:textFill>
        </w:rPr>
        <w:t xml:space="preserve"> </w:t>
      </w:r>
      <w:r>
        <w:rPr>
          <w:rFonts w:ascii="Bookman Old Style" w:hAnsi="Bookman Old Style" w:eastAsia="Times New Roman" w:cs="Times New Roman"/>
          <w:color w:val="000000" w:themeColor="text1"/>
          <w:sz w:val="24"/>
          <w:szCs w:val="20"/>
          <w14:textFill>
            <w14:solidFill>
              <w14:schemeClr w14:val="tx1"/>
            </w14:solidFill>
          </w14:textFill>
        </w:rPr>
        <w:t>sebagai berikut:</w:t>
      </w: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2268"/>
        </w:tabs>
        <w:spacing w:after="0" w:line="360" w:lineRule="auto"/>
        <w:ind w:firstLine="709"/>
        <w:jc w:val="both"/>
        <w:rPr>
          <w:rFonts w:ascii="Bookman Old Style" w:hAnsi="Bookman Old Style" w:eastAsia="Times New Roman" w:cs="Tahoma"/>
          <w:color w:val="000000" w:themeColor="text1"/>
          <w:sz w:val="24"/>
          <w:szCs w:val="24"/>
          <w14:textFill>
            <w14:solidFill>
              <w14:schemeClr w14:val="tx1"/>
            </w14:solidFill>
          </w14:textFill>
        </w:rPr>
        <w:sectPr>
          <w:pgSz w:w="12240" w:h="20160"/>
          <w:pgMar w:top="1134" w:right="1134" w:bottom="2098" w:left="1701" w:header="720" w:footer="2268" w:gutter="0"/>
          <w:cols w:space="720" w:num="1"/>
          <w:docGrid w:linePitch="326" w:charSpace="0"/>
        </w:sectPr>
      </w:pPr>
    </w:p>
    <w:tbl>
      <w:tblPr>
        <w:tblStyle w:val="4"/>
        <w:tblW w:w="17036" w:type="dxa"/>
        <w:tblInd w:w="108" w:type="dxa"/>
        <w:tblLayout w:type="autofit"/>
        <w:tblCellMar>
          <w:top w:w="0" w:type="dxa"/>
          <w:left w:w="108" w:type="dxa"/>
          <w:bottom w:w="0" w:type="dxa"/>
          <w:right w:w="108" w:type="dxa"/>
        </w:tblCellMar>
      </w:tblPr>
      <w:tblGrid>
        <w:gridCol w:w="1042"/>
        <w:gridCol w:w="1096"/>
        <w:gridCol w:w="1096"/>
        <w:gridCol w:w="1096"/>
        <w:gridCol w:w="1096"/>
        <w:gridCol w:w="1026"/>
        <w:gridCol w:w="1096"/>
        <w:gridCol w:w="1096"/>
        <w:gridCol w:w="1096"/>
        <w:gridCol w:w="1096"/>
        <w:gridCol w:w="1026"/>
        <w:gridCol w:w="602"/>
        <w:gridCol w:w="711"/>
        <w:gridCol w:w="743"/>
        <w:gridCol w:w="814"/>
        <w:gridCol w:w="743"/>
        <w:gridCol w:w="795"/>
        <w:gridCol w:w="766"/>
      </w:tblGrid>
      <w:tr>
        <w:tblPrEx>
          <w:tblCellMar>
            <w:top w:w="0" w:type="dxa"/>
            <w:left w:w="108" w:type="dxa"/>
            <w:bottom w:w="0" w:type="dxa"/>
            <w:right w:w="108" w:type="dxa"/>
          </w:tblCellMar>
        </w:tblPrEx>
        <w:trPr>
          <w:trHeight w:val="315" w:hRule="atLeast"/>
        </w:trPr>
        <w:tc>
          <w:tcPr>
            <w:tcW w:w="17036" w:type="dxa"/>
            <w:gridSpan w:val="18"/>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Cs w:val="24"/>
              </w:rPr>
            </w:pPr>
            <w:r>
              <w:rPr>
                <w:rFonts w:ascii="Bookman Old Style" w:hAnsi="Bookman Old Style" w:eastAsia="Times New Roman" w:cs="Calibri"/>
                <w:b/>
                <w:bCs/>
                <w:color w:val="000000"/>
                <w:szCs w:val="24"/>
              </w:rPr>
              <w:t>Tabel 2.3.14 (T-C. 24)</w:t>
            </w:r>
          </w:p>
        </w:tc>
      </w:tr>
      <w:tr>
        <w:tblPrEx>
          <w:tblCellMar>
            <w:top w:w="0" w:type="dxa"/>
            <w:left w:w="108" w:type="dxa"/>
            <w:bottom w:w="0" w:type="dxa"/>
            <w:right w:w="108" w:type="dxa"/>
          </w:tblCellMar>
        </w:tblPrEx>
        <w:trPr>
          <w:trHeight w:val="315" w:hRule="atLeast"/>
        </w:trPr>
        <w:tc>
          <w:tcPr>
            <w:tcW w:w="17036" w:type="dxa"/>
            <w:gridSpan w:val="18"/>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Cs w:val="24"/>
              </w:rPr>
            </w:pPr>
            <w:r>
              <w:rPr>
                <w:rFonts w:ascii="Bookman Old Style" w:hAnsi="Bookman Old Style" w:eastAsia="Times New Roman" w:cs="Calibri"/>
                <w:b/>
                <w:bCs/>
                <w:color w:val="000000"/>
                <w:szCs w:val="24"/>
              </w:rPr>
              <w:t>Anggaran dan Realisasi Pendanaan Pelayanan Dinas Perdagangan, Koperasi dan Usaha Kecil dan Menengah</w:t>
            </w:r>
          </w:p>
        </w:tc>
      </w:tr>
      <w:tr>
        <w:tblPrEx>
          <w:tblCellMar>
            <w:top w:w="0" w:type="dxa"/>
            <w:left w:w="108" w:type="dxa"/>
            <w:bottom w:w="0" w:type="dxa"/>
            <w:right w:w="108" w:type="dxa"/>
          </w:tblCellMar>
        </w:tblPrEx>
        <w:trPr>
          <w:trHeight w:val="330" w:hRule="atLeast"/>
        </w:trPr>
        <w:tc>
          <w:tcPr>
            <w:tcW w:w="17036" w:type="dxa"/>
            <w:gridSpan w:val="18"/>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Cs w:val="24"/>
              </w:rPr>
            </w:pPr>
            <w:r>
              <w:rPr>
                <w:rFonts w:ascii="Bookman Old Style" w:hAnsi="Bookman Old Style" w:eastAsia="Times New Roman" w:cs="Calibri"/>
                <w:b/>
                <w:bCs/>
                <w:color w:val="000000"/>
                <w:szCs w:val="24"/>
              </w:rPr>
              <w:t>Kabupaten Kepulauan Selayar</w:t>
            </w:r>
          </w:p>
          <w:p>
            <w:pPr>
              <w:spacing w:after="0" w:line="240" w:lineRule="auto"/>
              <w:jc w:val="center"/>
              <w:rPr>
                <w:rFonts w:ascii="Bookman Old Style" w:hAnsi="Bookman Old Style" w:eastAsia="Times New Roman" w:cs="Calibri"/>
                <w:b/>
                <w:bCs/>
                <w:color w:val="000000"/>
                <w:szCs w:val="24"/>
              </w:rPr>
            </w:pPr>
          </w:p>
        </w:tc>
      </w:tr>
      <w:tr>
        <w:tblPrEx>
          <w:tblCellMar>
            <w:top w:w="0" w:type="dxa"/>
            <w:left w:w="108" w:type="dxa"/>
            <w:bottom w:w="0" w:type="dxa"/>
            <w:right w:w="108" w:type="dxa"/>
          </w:tblCellMar>
        </w:tblPrEx>
        <w:trPr>
          <w:trHeight w:val="300" w:hRule="atLeast"/>
        </w:trPr>
        <w:tc>
          <w:tcPr>
            <w:tcW w:w="1051"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Uraian</w:t>
            </w:r>
          </w:p>
        </w:tc>
        <w:tc>
          <w:tcPr>
            <w:tcW w:w="5449" w:type="dxa"/>
            <w:gridSpan w:val="5"/>
            <w:tcBorders>
              <w:top w:val="single" w:color="auto" w:sz="8"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Anggaran pada Tahun Ke -</w:t>
            </w:r>
          </w:p>
        </w:tc>
        <w:tc>
          <w:tcPr>
            <w:tcW w:w="5449" w:type="dxa"/>
            <w:gridSpan w:val="5"/>
            <w:tcBorders>
              <w:top w:val="single" w:color="auto" w:sz="8"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Realisasi Anggaran pada Tahun Ke -</w:t>
            </w:r>
          </w:p>
        </w:tc>
        <w:tc>
          <w:tcPr>
            <w:tcW w:w="3637" w:type="dxa"/>
            <w:gridSpan w:val="5"/>
            <w:tcBorders>
              <w:top w:val="single" w:color="auto" w:sz="8"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Rasio antara Realisasi dan Anggaran Tahun Ke -</w:t>
            </w:r>
          </w:p>
        </w:tc>
        <w:tc>
          <w:tcPr>
            <w:tcW w:w="1450" w:type="dxa"/>
            <w:gridSpan w:val="2"/>
            <w:tcBorders>
              <w:top w:val="single" w:color="auto" w:sz="8" w:space="0"/>
              <w:left w:val="nil"/>
              <w:bottom w:val="single" w:color="auto" w:sz="4" w:space="0"/>
              <w:right w:val="single" w:color="000000" w:sz="8"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Rata-Rata Pertumbuhan</w:t>
            </w:r>
          </w:p>
        </w:tc>
      </w:tr>
      <w:tr>
        <w:tblPrEx>
          <w:tblCellMar>
            <w:top w:w="0" w:type="dxa"/>
            <w:left w:w="108" w:type="dxa"/>
            <w:bottom w:w="0" w:type="dxa"/>
            <w:right w:w="108" w:type="dxa"/>
          </w:tblCellMar>
        </w:tblPrEx>
        <w:trPr>
          <w:trHeight w:val="300" w:hRule="atLeast"/>
        </w:trPr>
        <w:tc>
          <w:tcPr>
            <w:tcW w:w="1051" w:type="dxa"/>
            <w:vMerge w:val="continue"/>
            <w:tcBorders>
              <w:top w:val="single" w:color="auto" w:sz="8" w:space="0"/>
              <w:left w:val="single" w:color="auto" w:sz="8"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sz w:val="12"/>
                <w:szCs w:val="12"/>
              </w:rPr>
            </w:pP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2016</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2017</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2019</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2020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2016</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2017</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2019</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2020</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2016</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2017</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2018</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2019</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2020</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Anggaran</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b/>
                <w:bCs/>
                <w:sz w:val="12"/>
                <w:szCs w:val="12"/>
              </w:rPr>
            </w:pPr>
            <w:r>
              <w:rPr>
                <w:rFonts w:ascii="Bookman Old Style" w:hAnsi="Bookman Old Style" w:eastAsia="Times New Roman" w:cs="Calibri"/>
                <w:b/>
                <w:bCs/>
                <w:sz w:val="12"/>
                <w:szCs w:val="12"/>
              </w:rPr>
              <w:t>Realisasi</w:t>
            </w:r>
          </w:p>
        </w:tc>
      </w:tr>
      <w:tr>
        <w:tblPrEx>
          <w:tblCellMar>
            <w:top w:w="0" w:type="dxa"/>
            <w:left w:w="108" w:type="dxa"/>
            <w:bottom w:w="0" w:type="dxa"/>
            <w:right w:w="108" w:type="dxa"/>
          </w:tblCellMar>
        </w:tblPrEx>
        <w:trPr>
          <w:trHeight w:val="300" w:hRule="atLeast"/>
        </w:trPr>
        <w:tc>
          <w:tcPr>
            <w:tcW w:w="1051" w:type="dxa"/>
            <w:tcBorders>
              <w:top w:val="nil"/>
              <w:left w:val="single" w:color="auto" w:sz="8" w:space="0"/>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2</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3</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4</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5</w:t>
            </w:r>
          </w:p>
        </w:tc>
        <w:tc>
          <w:tcPr>
            <w:tcW w:w="1033"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6</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7</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8</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9</w:t>
            </w:r>
          </w:p>
        </w:tc>
        <w:tc>
          <w:tcPr>
            <w:tcW w:w="1104"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10</w:t>
            </w:r>
          </w:p>
        </w:tc>
        <w:tc>
          <w:tcPr>
            <w:tcW w:w="1033"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11</w:t>
            </w:r>
          </w:p>
        </w:tc>
        <w:tc>
          <w:tcPr>
            <w:tcW w:w="606"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12</w:t>
            </w:r>
          </w:p>
        </w:tc>
        <w:tc>
          <w:tcPr>
            <w:tcW w:w="716"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13</w:t>
            </w:r>
          </w:p>
        </w:tc>
        <w:tc>
          <w:tcPr>
            <w:tcW w:w="748"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14</w:t>
            </w:r>
          </w:p>
        </w:tc>
        <w:tc>
          <w:tcPr>
            <w:tcW w:w="819"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15</w:t>
            </w:r>
          </w:p>
        </w:tc>
        <w:tc>
          <w:tcPr>
            <w:tcW w:w="748"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16</w:t>
            </w:r>
          </w:p>
        </w:tc>
        <w:tc>
          <w:tcPr>
            <w:tcW w:w="738" w:type="dxa"/>
            <w:tcBorders>
              <w:top w:val="nil"/>
              <w:left w:val="nil"/>
              <w:bottom w:val="single" w:color="auto" w:sz="4" w:space="0"/>
              <w:right w:val="single" w:color="auto" w:sz="4"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17</w:t>
            </w:r>
          </w:p>
        </w:tc>
        <w:tc>
          <w:tcPr>
            <w:tcW w:w="712" w:type="dxa"/>
            <w:tcBorders>
              <w:top w:val="nil"/>
              <w:left w:val="nil"/>
              <w:bottom w:val="single" w:color="auto" w:sz="4" w:space="0"/>
              <w:right w:val="single" w:color="auto" w:sz="8" w:space="0"/>
            </w:tcBorders>
            <w:shd w:val="clear" w:color="auto" w:fill="C3BD96"/>
            <w:noWrap/>
            <w:vAlign w:val="center"/>
          </w:tcPr>
          <w:p>
            <w:pPr>
              <w:spacing w:after="0" w:line="240" w:lineRule="auto"/>
              <w:jc w:val="center"/>
              <w:rPr>
                <w:rFonts w:ascii="Bookman Old Style" w:hAnsi="Bookman Old Style" w:eastAsia="Times New Roman" w:cs="Calibri"/>
                <w:b/>
                <w:bCs/>
                <w:i/>
                <w:sz w:val="12"/>
                <w:szCs w:val="12"/>
              </w:rPr>
            </w:pPr>
            <w:r>
              <w:rPr>
                <w:rFonts w:ascii="Bookman Old Style" w:hAnsi="Bookman Old Style" w:eastAsia="Times New Roman" w:cs="Calibri"/>
                <w:b/>
                <w:bCs/>
                <w:i/>
                <w:sz w:val="12"/>
                <w:szCs w:val="12"/>
              </w:rPr>
              <w:t>18</w:t>
            </w:r>
          </w:p>
        </w:tc>
      </w:tr>
      <w:tr>
        <w:tblPrEx>
          <w:tblCellMar>
            <w:top w:w="0" w:type="dxa"/>
            <w:left w:w="108" w:type="dxa"/>
            <w:bottom w:w="0" w:type="dxa"/>
            <w:right w:w="108" w:type="dxa"/>
          </w:tblCellMar>
        </w:tblPrEx>
        <w:trPr>
          <w:trHeight w:val="960"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sz w:val="12"/>
                <w:szCs w:val="12"/>
              </w:rPr>
            </w:pPr>
            <w:r>
              <w:rPr>
                <w:rFonts w:ascii="Bookman Old Style" w:hAnsi="Bookman Old Style" w:eastAsia="Times New Roman" w:cs="Calibri"/>
                <w:b/>
                <w:bCs/>
                <w:sz w:val="12"/>
                <w:szCs w:val="12"/>
              </w:rPr>
              <w:t>Belanja Tidak Langsung</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2.190.050.000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2.705.100.000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3.762.702.000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3.670.100.000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2.189.000.000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2.705.000.000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3.635.000.000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3.762.700.000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3.670.000.000</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99,95</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99,9963</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99,99725</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99,999947</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99,99728</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37</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36,70</w:t>
            </w:r>
          </w:p>
        </w:tc>
      </w:tr>
      <w:tr>
        <w:tblPrEx>
          <w:tblCellMar>
            <w:top w:w="0" w:type="dxa"/>
            <w:left w:w="108" w:type="dxa"/>
            <w:bottom w:w="0" w:type="dxa"/>
            <w:right w:w="108" w:type="dxa"/>
          </w:tblCellMar>
        </w:tblPrEx>
        <w:trPr>
          <w:trHeight w:val="405"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2"/>
                <w:szCs w:val="12"/>
              </w:rPr>
            </w:pPr>
            <w:r>
              <w:rPr>
                <w:rFonts w:ascii="Bookman Old Style" w:hAnsi="Bookman Old Style" w:eastAsia="Times New Roman" w:cs="Calibri"/>
                <w:sz w:val="12"/>
                <w:szCs w:val="12"/>
              </w:rPr>
              <w:t>B. Pegawai</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2.190.050.000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2.705.100.000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3.635.100.000</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165,98</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134,3795</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37</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36,70</w:t>
            </w:r>
          </w:p>
        </w:tc>
      </w:tr>
      <w:tr>
        <w:tblPrEx>
          <w:tblCellMar>
            <w:top w:w="0" w:type="dxa"/>
            <w:left w:w="108" w:type="dxa"/>
            <w:bottom w:w="0" w:type="dxa"/>
            <w:right w:w="108" w:type="dxa"/>
          </w:tblCellMar>
        </w:tblPrEx>
        <w:trPr>
          <w:trHeight w:val="660"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sz w:val="12"/>
                <w:szCs w:val="12"/>
              </w:rPr>
            </w:pPr>
            <w:r>
              <w:rPr>
                <w:rFonts w:ascii="Bookman Old Style" w:hAnsi="Bookman Old Style" w:eastAsia="Times New Roman" w:cs="Calibri"/>
                <w:b/>
                <w:bCs/>
                <w:sz w:val="12"/>
                <w:szCs w:val="12"/>
              </w:rPr>
              <w:t>Belanja Langsung</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9.014.938.400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9.817.122.945</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10.253.719.250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11.534.311.850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4.826.493.725</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9.014.938.400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9.817.122.945</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10.253.719.250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11.534.311.850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4.826.493.725</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100,00</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48,26</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r>
      <w:tr>
        <w:tblPrEx>
          <w:tblCellMar>
            <w:top w:w="0" w:type="dxa"/>
            <w:left w:w="108" w:type="dxa"/>
            <w:bottom w:w="0" w:type="dxa"/>
            <w:right w:w="108" w:type="dxa"/>
          </w:tblCellMar>
        </w:tblPrEx>
        <w:trPr>
          <w:trHeight w:val="375"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2"/>
                <w:szCs w:val="12"/>
              </w:rPr>
            </w:pPr>
            <w:r>
              <w:rPr>
                <w:rFonts w:ascii="Bookman Old Style" w:hAnsi="Bookman Old Style" w:eastAsia="Times New Roman" w:cs="Calibri"/>
                <w:sz w:val="12"/>
                <w:szCs w:val="12"/>
              </w:rPr>
              <w:t>B.Pegawai</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408.885.000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828.907.500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238.560.000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209.780.000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300.900.000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2.099.860.547</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3.156.795.250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3.760.995.394</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3.715.038.907</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3.795.272.216</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5,135</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3,808</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15,76</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17,709</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12,61</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30,08</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48,26</w:t>
            </w:r>
          </w:p>
        </w:tc>
      </w:tr>
      <w:tr>
        <w:tblPrEx>
          <w:tblCellMar>
            <w:top w:w="0" w:type="dxa"/>
            <w:left w:w="108" w:type="dxa"/>
            <w:bottom w:w="0" w:type="dxa"/>
            <w:right w:w="108" w:type="dxa"/>
          </w:tblCellMar>
        </w:tblPrEx>
        <w:trPr>
          <w:trHeight w:val="615"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2"/>
                <w:szCs w:val="12"/>
              </w:rPr>
            </w:pPr>
            <w:r>
              <w:rPr>
                <w:rFonts w:ascii="Bookman Old Style" w:hAnsi="Bookman Old Style" w:eastAsia="Times New Roman" w:cs="Calibri"/>
                <w:sz w:val="12"/>
                <w:szCs w:val="12"/>
              </w:rPr>
              <w:t>B.Barang dan Jasa</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5.293.945.750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5.666.018.259</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5.918.899.250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7.222.403.600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3.418.841.858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5.179.800.049</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3.522.318.528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3.812.125.438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3.602.884.081</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2.793.781.828</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97,84</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62,16</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64,4</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49,88</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81,71</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34,19</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27,94</w:t>
            </w:r>
          </w:p>
        </w:tc>
      </w:tr>
      <w:tr>
        <w:tblPrEx>
          <w:tblCellMar>
            <w:top w:w="0" w:type="dxa"/>
            <w:left w:w="108" w:type="dxa"/>
            <w:bottom w:w="0" w:type="dxa"/>
            <w:right w:w="108" w:type="dxa"/>
          </w:tblCellMar>
        </w:tblPrEx>
        <w:trPr>
          <w:trHeight w:val="375"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2"/>
                <w:szCs w:val="12"/>
              </w:rPr>
            </w:pPr>
            <w:r>
              <w:rPr>
                <w:rFonts w:ascii="Bookman Old Style" w:hAnsi="Bookman Old Style" w:eastAsia="Times New Roman" w:cs="Calibri"/>
                <w:sz w:val="12"/>
                <w:szCs w:val="12"/>
              </w:rPr>
              <w:t>B.Modal</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3.312.107.650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3.322.197.186</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4.096.260.000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4.102.128.250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1.106.751.867</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3.103.526.368</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1.435.319.000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3.907.534.864</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3.387.449.351</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849.028.136</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93,7</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43,2</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95,39</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33,16</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76,71</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11,68</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84,9</w:t>
            </w:r>
          </w:p>
        </w:tc>
      </w:tr>
      <w:tr>
        <w:tblPrEx>
          <w:tblCellMar>
            <w:top w:w="0" w:type="dxa"/>
            <w:left w:w="108" w:type="dxa"/>
            <w:bottom w:w="0" w:type="dxa"/>
            <w:right w:w="108" w:type="dxa"/>
          </w:tblCellMar>
        </w:tblPrEx>
        <w:trPr>
          <w:trHeight w:val="345" w:hRule="atLeast"/>
        </w:trPr>
        <w:tc>
          <w:tcPr>
            <w:tcW w:w="1051"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2"/>
                <w:szCs w:val="12"/>
              </w:rPr>
            </w:pPr>
            <w:r>
              <w:rPr>
                <w:rFonts w:ascii="Bookman Old Style" w:hAnsi="Bookman Old Style" w:eastAsia="Times New Roman" w:cs="Calibri"/>
                <w:sz w:val="12"/>
                <w:szCs w:val="12"/>
              </w:rPr>
              <w:t>B.Hibah</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1.949.106.870</w:t>
            </w:r>
          </w:p>
        </w:tc>
        <w:tc>
          <w:tcPr>
            <w:tcW w:w="110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2.562.195.476</w:t>
            </w:r>
          </w:p>
        </w:tc>
        <w:tc>
          <w:tcPr>
            <w:tcW w:w="103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212.245.500</w:t>
            </w:r>
          </w:p>
        </w:tc>
        <w:tc>
          <w:tcPr>
            <w:tcW w:w="60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c>
          <w:tcPr>
            <w:tcW w:w="71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99,9992</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99,99928</w:t>
            </w:r>
          </w:p>
        </w:tc>
        <w:tc>
          <w:tcPr>
            <w:tcW w:w="81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99,999987</w:t>
            </w:r>
          </w:p>
        </w:tc>
        <w:tc>
          <w:tcPr>
            <w:tcW w:w="74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100,00</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c>
          <w:tcPr>
            <w:tcW w:w="712"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0"/>
                <w:szCs w:val="10"/>
              </w:rPr>
            </w:pPr>
            <w:r>
              <w:rPr>
                <w:rFonts w:ascii="Bookman Old Style" w:hAnsi="Bookman Old Style" w:eastAsia="Times New Roman" w:cs="Calibri"/>
                <w:sz w:val="10"/>
                <w:szCs w:val="10"/>
              </w:rPr>
              <w:t>100</w:t>
            </w:r>
          </w:p>
        </w:tc>
      </w:tr>
      <w:tr>
        <w:tblPrEx>
          <w:tblCellMar>
            <w:top w:w="0" w:type="dxa"/>
            <w:left w:w="108" w:type="dxa"/>
            <w:bottom w:w="0" w:type="dxa"/>
            <w:right w:w="108" w:type="dxa"/>
          </w:tblCellMar>
        </w:tblPrEx>
        <w:trPr>
          <w:trHeight w:val="315" w:hRule="atLeast"/>
        </w:trPr>
        <w:tc>
          <w:tcPr>
            <w:tcW w:w="1051" w:type="dxa"/>
            <w:tcBorders>
              <w:top w:val="nil"/>
              <w:left w:val="single" w:color="auto" w:sz="8" w:space="0"/>
              <w:bottom w:val="single" w:color="auto" w:sz="8" w:space="0"/>
              <w:right w:val="single" w:color="auto" w:sz="4" w:space="0"/>
            </w:tcBorders>
            <w:shd w:val="clear" w:color="auto" w:fill="auto"/>
            <w:vAlign w:val="center"/>
          </w:tcPr>
          <w:p>
            <w:pPr>
              <w:spacing w:after="0" w:line="240" w:lineRule="auto"/>
              <w:rPr>
                <w:rFonts w:ascii="Bookman Old Style" w:hAnsi="Bookman Old Style" w:eastAsia="Times New Roman" w:cs="Calibri"/>
                <w:b/>
                <w:bCs/>
                <w:sz w:val="12"/>
                <w:szCs w:val="12"/>
              </w:rPr>
            </w:pPr>
            <w:r>
              <w:rPr>
                <w:rFonts w:ascii="Bookman Old Style" w:hAnsi="Bookman Old Style" w:eastAsia="Times New Roman" w:cs="Calibri"/>
                <w:b/>
                <w:bCs/>
                <w:sz w:val="12"/>
                <w:szCs w:val="12"/>
              </w:rPr>
              <w:t>Total</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11.204.988.400</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12.522.222.945</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13.888.819.250</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15.297.013.850</w:t>
            </w:r>
          </w:p>
        </w:tc>
        <w:tc>
          <w:tcPr>
            <w:tcW w:w="1033"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8.496.593.725</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11.203.938.400</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12.522.122.945</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13.888.719.250</w:t>
            </w:r>
          </w:p>
        </w:tc>
        <w:tc>
          <w:tcPr>
            <w:tcW w:w="1104"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15.297.011.850</w:t>
            </w:r>
          </w:p>
        </w:tc>
        <w:tc>
          <w:tcPr>
            <w:tcW w:w="1033"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8.496.493.725</w:t>
            </w:r>
          </w:p>
        </w:tc>
        <w:tc>
          <w:tcPr>
            <w:tcW w:w="606"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16"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48"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819"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48"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100</w:t>
            </w:r>
          </w:p>
        </w:tc>
        <w:tc>
          <w:tcPr>
            <w:tcW w:w="738"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16,99</w:t>
            </w:r>
          </w:p>
        </w:tc>
        <w:tc>
          <w:tcPr>
            <w:tcW w:w="712" w:type="dxa"/>
            <w:tcBorders>
              <w:top w:val="nil"/>
              <w:left w:val="nil"/>
              <w:bottom w:val="single" w:color="auto" w:sz="8"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b/>
                <w:bCs/>
                <w:sz w:val="10"/>
                <w:szCs w:val="10"/>
              </w:rPr>
            </w:pPr>
            <w:r>
              <w:rPr>
                <w:rFonts w:ascii="Bookman Old Style" w:hAnsi="Bookman Old Style" w:eastAsia="Times New Roman" w:cs="Calibri"/>
                <w:b/>
                <w:bCs/>
                <w:sz w:val="10"/>
                <w:szCs w:val="10"/>
              </w:rPr>
              <w:t>84,96</w:t>
            </w:r>
          </w:p>
        </w:tc>
      </w:tr>
    </w:tbl>
    <w:p>
      <w:pPr>
        <w:tabs>
          <w:tab w:val="left" w:pos="2268"/>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sectPr>
          <w:pgSz w:w="20160" w:h="12240" w:orient="landscape"/>
          <w:pgMar w:top="1134" w:right="2098" w:bottom="1701" w:left="1134" w:header="720" w:footer="2268" w:gutter="0"/>
          <w:cols w:space="720" w:num="1"/>
          <w:docGrid w:linePitch="326" w:charSpace="0"/>
        </w:sectPr>
      </w:pPr>
    </w:p>
    <w:p>
      <w:pPr>
        <w:numPr>
          <w:ilvl w:val="1"/>
          <w:numId w:val="32"/>
        </w:numPr>
        <w:tabs>
          <w:tab w:val="left" w:pos="426"/>
        </w:tabs>
        <w:autoSpaceDE w:val="0"/>
        <w:autoSpaceDN w:val="0"/>
        <w:adjustRightInd w:val="0"/>
        <w:spacing w:before="240" w:after="0" w:line="360" w:lineRule="auto"/>
        <w:ind w:left="567" w:hanging="567"/>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Tantangan dan Peluang Pengembangan Pelayanan Dinas Perdagangan, Koperasi dan Usaha Kecil dan Menengah</w:t>
      </w:r>
    </w:p>
    <w:p>
      <w:pPr>
        <w:tabs>
          <w:tab w:val="left" w:pos="426"/>
        </w:tabs>
        <w:autoSpaceDE w:val="0"/>
        <w:autoSpaceDN w:val="0"/>
        <w:adjustRightInd w:val="0"/>
        <w:spacing w:before="240" w:after="0" w:line="360" w:lineRule="auto"/>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2.4.1.Analisis KLHS</w:t>
      </w:r>
    </w:p>
    <w:p>
      <w:pPr>
        <w:tabs>
          <w:tab w:val="left" w:pos="1418"/>
        </w:tabs>
        <w:spacing w:after="0" w:line="360" w:lineRule="auto"/>
        <w:ind w:left="720" w:firstLine="709"/>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Kajian lingkungan hidup strategis RPJMD adalah untuk memberikan kontribusi perbaikan materi rancangan awal Rencana Pembangunan Jangka Menengah Daerah (RPJMD)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w:t>
      </w:r>
      <w:r>
        <w:rPr>
          <w:rFonts w:ascii="Bookman Old Style" w:hAnsi="Bookman Old Style" w:eastAsia="Times New Roman" w:cs="Times New Roman"/>
          <w:color w:val="000000" w:themeColor="text1"/>
          <w:sz w:val="24"/>
          <w:szCs w:val="20"/>
          <w14:textFill>
            <w14:solidFill>
              <w14:schemeClr w14:val="tx1"/>
            </w14:solidFill>
          </w14:textFill>
        </w:rPr>
        <w:t xml:space="preserve"> melalui :</w:t>
      </w:r>
    </w:p>
    <w:p>
      <w:pPr>
        <w:numPr>
          <w:ilvl w:val="0"/>
          <w:numId w:val="33"/>
        </w:numPr>
        <w:spacing w:after="0" w:line="360" w:lineRule="auto"/>
        <w:ind w:left="1080"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Pengkajian pengaruh rumusan visi, misi, tujuan dan sasaran, strategi dan arah kebijakan, kebijakan umum dan program pembangunan daerah 2021-20</w:t>
      </w:r>
      <w:r>
        <w:rPr>
          <w:rFonts w:ascii="Bookman Old Style" w:hAnsi="Bookman Old Style" w:eastAsia="Times New Roman" w:cs="Times New Roman"/>
          <w:color w:val="000000" w:themeColor="text1"/>
          <w:sz w:val="24"/>
          <w:szCs w:val="20"/>
          <w:lang w:val="id-ID"/>
          <w14:textFill>
            <w14:solidFill>
              <w14:schemeClr w14:val="tx1"/>
            </w14:solidFill>
          </w14:textFill>
        </w:rPr>
        <w:t>2</w:t>
      </w:r>
      <w:r>
        <w:rPr>
          <w:rFonts w:ascii="Bookman Old Style" w:hAnsi="Bookman Old Style" w:eastAsia="Times New Roman" w:cs="Times New Roman"/>
          <w:color w:val="000000" w:themeColor="text1"/>
          <w:sz w:val="24"/>
          <w:szCs w:val="20"/>
          <w14:textFill>
            <w14:solidFill>
              <w14:schemeClr w14:val="tx1"/>
            </w14:solidFill>
          </w14:textFill>
        </w:rPr>
        <w:t>6 terhadap prinsip pembangunan berkelanjutan.</w:t>
      </w:r>
    </w:p>
    <w:p>
      <w:pPr>
        <w:numPr>
          <w:ilvl w:val="0"/>
          <w:numId w:val="33"/>
        </w:numPr>
        <w:spacing w:after="0" w:line="360" w:lineRule="auto"/>
        <w:ind w:left="1080"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Perumusan mitigasi dampak dan/atau alternatif program serta saran penyempurnaan rumusan visi, misi, tujuan dan sasaran, strategi dan arah kebijakan dan kebijakan umum pembangunan jangka menengah periode tahun 2021-20</w:t>
      </w:r>
      <w:r>
        <w:rPr>
          <w:rFonts w:ascii="Bookman Old Style" w:hAnsi="Bookman Old Style" w:eastAsia="Times New Roman" w:cs="Times New Roman"/>
          <w:color w:val="000000" w:themeColor="text1"/>
          <w:sz w:val="24"/>
          <w:szCs w:val="20"/>
          <w:lang w:val="id-ID"/>
          <w14:textFill>
            <w14:solidFill>
              <w14:schemeClr w14:val="tx1"/>
            </w14:solidFill>
          </w14:textFill>
        </w:rPr>
        <w:t>2</w:t>
      </w:r>
      <w:r>
        <w:rPr>
          <w:rFonts w:ascii="Bookman Old Style" w:hAnsi="Bookman Old Style" w:eastAsia="Times New Roman" w:cs="Times New Roman"/>
          <w:color w:val="000000" w:themeColor="text1"/>
          <w:sz w:val="24"/>
          <w:szCs w:val="20"/>
          <w14:textFill>
            <w14:solidFill>
              <w14:schemeClr w14:val="tx1"/>
            </w14:solidFill>
          </w14:textFill>
        </w:rPr>
        <w:t>6.</w:t>
      </w:r>
    </w:p>
    <w:p>
      <w:pPr>
        <w:numPr>
          <w:ilvl w:val="0"/>
          <w:numId w:val="33"/>
        </w:numPr>
        <w:spacing w:after="0" w:line="360" w:lineRule="auto"/>
        <w:ind w:left="1080"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Pengintegrasian rekomendasi ke dalam rancangan awal RPJMD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 tahun 20</w:t>
      </w:r>
      <w:r>
        <w:rPr>
          <w:rFonts w:ascii="Bookman Old Style" w:hAnsi="Bookman Old Style" w:eastAsia="Times New Roman" w:cs="Times New Roman"/>
          <w:color w:val="000000" w:themeColor="text1"/>
          <w:sz w:val="24"/>
          <w:szCs w:val="20"/>
          <w14:textFill>
            <w14:solidFill>
              <w14:schemeClr w14:val="tx1"/>
            </w14:solidFill>
          </w14:textFill>
        </w:rPr>
        <w:t>2</w:t>
      </w:r>
      <w:r>
        <w:rPr>
          <w:rFonts w:ascii="Bookman Old Style" w:hAnsi="Bookman Old Style" w:eastAsia="Times New Roman" w:cs="Times New Roman"/>
          <w:color w:val="000000" w:themeColor="text1"/>
          <w:sz w:val="24"/>
          <w:szCs w:val="20"/>
          <w:lang w:val="id-ID"/>
          <w14:textFill>
            <w14:solidFill>
              <w14:schemeClr w14:val="tx1"/>
            </w14:solidFill>
          </w14:textFill>
        </w:rPr>
        <w:t>1-202</w:t>
      </w:r>
      <w:r>
        <w:rPr>
          <w:rFonts w:ascii="Bookman Old Style" w:hAnsi="Bookman Old Style" w:eastAsia="Times New Roman" w:cs="Times New Roman"/>
          <w:color w:val="000000" w:themeColor="text1"/>
          <w:sz w:val="24"/>
          <w:szCs w:val="20"/>
          <w14:textFill>
            <w14:solidFill>
              <w14:schemeClr w14:val="tx1"/>
            </w14:solidFill>
          </w14:textFill>
        </w:rPr>
        <w:t>6.</w:t>
      </w:r>
    </w:p>
    <w:p>
      <w:pPr>
        <w:numPr>
          <w:ilvl w:val="0"/>
          <w:numId w:val="33"/>
        </w:numPr>
        <w:spacing w:after="0" w:line="360" w:lineRule="auto"/>
        <w:ind w:left="1080"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Peningkatkan kapasitas perencana pembangunan daerah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w:t>
      </w:r>
      <w:r>
        <w:rPr>
          <w:rFonts w:ascii="Bookman Old Style" w:hAnsi="Bookman Old Style" w:eastAsia="Times New Roman" w:cs="Times New Roman"/>
          <w:color w:val="000000" w:themeColor="text1"/>
          <w:sz w:val="24"/>
          <w:szCs w:val="20"/>
          <w14:textFill>
            <w14:solidFill>
              <w14:schemeClr w14:val="tx1"/>
            </w14:solidFill>
          </w14:textFill>
        </w:rPr>
        <w:t xml:space="preserve"> dalam melaksanakan KLHS.</w:t>
      </w:r>
    </w:p>
    <w:p>
      <w:pPr>
        <w:spacing w:after="0" w:line="360" w:lineRule="auto"/>
        <w:ind w:left="720" w:firstLine="709"/>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Berdasarkan Kajian KLHS Strategis RPJMD, maka diperoleh beberapa rekomendasi yang harus diintegrasikan dalam penyusunan RPJMD dan RENSTRA OPD. Adapun rekomendasinya adalah :</w:t>
      </w:r>
    </w:p>
    <w:p>
      <w:pPr>
        <w:numPr>
          <w:ilvl w:val="0"/>
          <w:numId w:val="34"/>
        </w:numPr>
        <w:spacing w:after="0" w:line="360" w:lineRule="auto"/>
        <w:ind w:left="1134"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Penumbuhan dan pengembangan industri kecil dan menengah</w:t>
      </w:r>
    </w:p>
    <w:p>
      <w:pPr>
        <w:numPr>
          <w:ilvl w:val="0"/>
          <w:numId w:val="34"/>
        </w:numPr>
        <w:spacing w:after="0" w:line="360" w:lineRule="auto"/>
        <w:ind w:left="1134"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Percepatan penyebaran dan pemerataan pembangunan industri</w:t>
      </w:r>
    </w:p>
    <w:p>
      <w:pPr>
        <w:tabs>
          <w:tab w:val="left" w:pos="567"/>
        </w:tabs>
        <w:autoSpaceDE w:val="0"/>
        <w:autoSpaceDN w:val="0"/>
        <w:adjustRightInd w:val="0"/>
        <w:spacing w:before="240" w:after="0" w:line="360" w:lineRule="auto"/>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2.4.2.Analisis RTRW</w:t>
      </w:r>
    </w:p>
    <w:p>
      <w:pPr>
        <w:spacing w:after="0" w:line="360" w:lineRule="auto"/>
        <w:ind w:left="720" w:firstLine="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Rencana Tata Ruang Wilayah Kabupaten Kepulauan Selayar Tahun 2012- 2032 telah disahkan melalui Peraturan Daerah Kabupaten Kepulauan Selayar Nomor 5 Tahun 2012.</w:t>
      </w:r>
    </w:p>
    <w:p>
      <w:pPr>
        <w:spacing w:after="0" w:line="360" w:lineRule="auto"/>
        <w:ind w:left="720" w:firstLine="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Tujuan umum penataan ruang wilayah kabupaten adalah untuk menata ruang wilayah Kepulauan Selayar dalam </w:t>
      </w:r>
      <w:r>
        <w:rPr>
          <w:rFonts w:ascii="Bookman Old Style" w:hAnsi="Bookman Old Style" w:eastAsia="Times New Roman" w:cs="Tahoma"/>
          <w:color w:val="000000" w:themeColor="text1"/>
          <w:sz w:val="24"/>
          <w:szCs w:val="24"/>
          <w:lang w:val="id-ID"/>
          <w14:textFill>
            <w14:solidFill>
              <w14:schemeClr w14:val="tx1"/>
            </w14:solidFill>
          </w14:textFill>
        </w:rPr>
        <w:t xml:space="preserve">mewujudkan pemerataan pertumbuhan ekonomi dengan peningkatan sektor unggulan </w:t>
      </w:r>
      <w:r>
        <w:rPr>
          <w:rFonts w:ascii="Bookman Old Style" w:hAnsi="Bookman Old Style" w:eastAsia="Times New Roman" w:cs="Tahoma"/>
          <w:color w:val="000000" w:themeColor="text1"/>
          <w:sz w:val="24"/>
          <w:szCs w:val="24"/>
          <w14:textFill>
            <w14:solidFill>
              <w14:schemeClr w14:val="tx1"/>
            </w14:solidFill>
          </w14:textFill>
        </w:rPr>
        <w:t xml:space="preserve">Kabupaten </w:t>
      </w:r>
      <w:r>
        <w:rPr>
          <w:rFonts w:ascii="Bookman Old Style" w:hAnsi="Bookman Old Style" w:eastAsia="Times New Roman" w:cs="Tahoma"/>
          <w:color w:val="000000" w:themeColor="text1"/>
          <w:sz w:val="24"/>
          <w:szCs w:val="24"/>
          <w:lang w:val="id-ID"/>
          <w14:textFill>
            <w14:solidFill>
              <w14:schemeClr w14:val="tx1"/>
            </w14:solidFill>
          </w14:textFill>
        </w:rPr>
        <w:t xml:space="preserve">pada aspek perikanan, pariwisata dan pertanian </w:t>
      </w:r>
      <w:r>
        <w:rPr>
          <w:rFonts w:ascii="Bookman Old Style" w:hAnsi="Bookman Old Style" w:eastAsia="Times New Roman" w:cs="Tahoma"/>
          <w:color w:val="000000" w:themeColor="text1"/>
          <w:sz w:val="24"/>
          <w:szCs w:val="24"/>
          <w14:textFill>
            <w14:solidFill>
              <w14:schemeClr w14:val="tx1"/>
            </w14:solidFill>
          </w14:textFill>
        </w:rPr>
        <w:t xml:space="preserve">serta pertambangan </w:t>
      </w:r>
      <w:r>
        <w:rPr>
          <w:rFonts w:ascii="Bookman Old Style" w:hAnsi="Bookman Old Style" w:eastAsia="Times New Roman" w:cs="Tahoma"/>
          <w:color w:val="000000" w:themeColor="text1"/>
          <w:sz w:val="24"/>
          <w:szCs w:val="24"/>
          <w:lang w:val="id-ID"/>
          <w14:textFill>
            <w14:solidFill>
              <w14:schemeClr w14:val="tx1"/>
            </w14:solidFill>
          </w14:textFill>
        </w:rPr>
        <w:t>sebagai wilayah kepulauan yang berbasis bahari dan maritim</w:t>
      </w:r>
      <w:r>
        <w:rPr>
          <w:rFonts w:ascii="Bookman Old Style" w:hAnsi="Bookman Old Style" w:eastAsia="Times New Roman" w:cs="Tahoma"/>
          <w:color w:val="000000" w:themeColor="text1"/>
          <w:sz w:val="24"/>
          <w:szCs w:val="24"/>
          <w14:textFill>
            <w14:solidFill>
              <w14:schemeClr w14:val="tx1"/>
            </w14:solidFill>
          </w14:textFill>
        </w:rPr>
        <w:t xml:space="preserve"> serta untuk m</w:t>
      </w:r>
      <w:r>
        <w:rPr>
          <w:rFonts w:ascii="Bookman Old Style" w:hAnsi="Bookman Old Style" w:eastAsia="Times New Roman" w:cs="Tahoma"/>
          <w:color w:val="000000" w:themeColor="text1"/>
          <w:sz w:val="24"/>
          <w:szCs w:val="24"/>
          <w:lang w:val="id-ID"/>
          <w14:textFill>
            <w14:solidFill>
              <w14:schemeClr w14:val="tx1"/>
            </w14:solidFill>
          </w14:textFill>
        </w:rPr>
        <w:t>erwujud</w:t>
      </w:r>
      <w:r>
        <w:rPr>
          <w:rFonts w:ascii="Bookman Old Style" w:hAnsi="Bookman Old Style" w:eastAsia="Times New Roman" w:cs="Tahoma"/>
          <w:color w:val="000000" w:themeColor="text1"/>
          <w:sz w:val="24"/>
          <w:szCs w:val="24"/>
          <w14:textFill>
            <w14:solidFill>
              <w14:schemeClr w14:val="tx1"/>
            </w14:solidFill>
          </w14:textFill>
        </w:rPr>
        <w:t>k</w:t>
      </w:r>
      <w:r>
        <w:rPr>
          <w:rFonts w:ascii="Bookman Old Style" w:hAnsi="Bookman Old Style" w:eastAsia="Times New Roman" w:cs="Tahoma"/>
          <w:color w:val="000000" w:themeColor="text1"/>
          <w:sz w:val="24"/>
          <w:szCs w:val="24"/>
          <w:lang w:val="id-ID"/>
          <w14:textFill>
            <w14:solidFill>
              <w14:schemeClr w14:val="tx1"/>
            </w14:solidFill>
          </w14:textFill>
        </w:rPr>
        <w:t xml:space="preserve">an ruang wilayah </w:t>
      </w:r>
      <w:r>
        <w:rPr>
          <w:rFonts w:ascii="Bookman Old Style" w:hAnsi="Bookman Old Style" w:eastAsia="Times New Roman" w:cs="Tahoma"/>
          <w:color w:val="000000" w:themeColor="text1"/>
          <w:sz w:val="24"/>
          <w:szCs w:val="24"/>
          <w14:textFill>
            <w14:solidFill>
              <w14:schemeClr w14:val="tx1"/>
            </w14:solidFill>
          </w14:textFill>
        </w:rPr>
        <w:t>Kabupaten</w:t>
      </w:r>
      <w:r>
        <w:rPr>
          <w:rFonts w:ascii="Bookman Old Style" w:hAnsi="Bookman Old Style" w:eastAsia="Times New Roman" w:cs="Tahoma"/>
          <w:color w:val="000000" w:themeColor="text1"/>
          <w:sz w:val="24"/>
          <w:szCs w:val="24"/>
          <w:lang w:val="id-ID"/>
          <w14:textFill>
            <w14:solidFill>
              <w14:schemeClr w14:val="tx1"/>
            </w14:solidFill>
          </w14:textFill>
        </w:rPr>
        <w:t xml:space="preserve"> yang aman, nyaman, produktif, dan berkelanjutan serta perwujudan keseimbangan dan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keserasian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perkembangan antarwilayah, yang diterjemahkan dalam </w:t>
      </w:r>
    </w:p>
    <w:p>
      <w:pPr>
        <w:spacing w:after="0" w:line="360" w:lineRule="auto"/>
        <w:ind w:left="720" w:hanging="1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kebijakan dan strategi pengembangan struktur ruang dan pola ruang wilayah </w:t>
      </w:r>
      <w:r>
        <w:rPr>
          <w:rFonts w:ascii="Bookman Old Style" w:hAnsi="Bookman Old Style" w:eastAsia="Times New Roman" w:cs="Tahoma"/>
          <w:color w:val="000000" w:themeColor="text1"/>
          <w:sz w:val="24"/>
          <w:szCs w:val="24"/>
          <w14:textFill>
            <w14:solidFill>
              <w14:schemeClr w14:val="tx1"/>
            </w14:solidFill>
          </w14:textFill>
        </w:rPr>
        <w:t>Kabupaten, yang bermuara pada proses peningkatan kesejahteraan rakyat, khususnya rakyat Kepulauan Selayar secara berkelanjutan.</w:t>
      </w:r>
    </w:p>
    <w:p>
      <w:pPr>
        <w:spacing w:after="0" w:line="360" w:lineRule="auto"/>
        <w:ind w:left="720" w:firstLine="72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Tujuan khusus penataan ruang wilayah kabupaten adalah :</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mengembangkan fungsi Kepulauan Selayar sebagai simpul transportasi, perdagangan dan konvensi; </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mengarahkan peran Kepulauan Selayar sebagai lahan pangan berkelanjutan dengan mengarahkan pengembangan agrobisnis dan agroindustri khususnya komoditi-komoditi unggulan Kepulauan Selayar, yang sekaligus sebagai penggerak ekonomi rakyat;</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mengarahkan pengembangan kawasan serta prasarana wisata budaya, wisata alam, wisata bahari, wisata agro, maupun wisata belanja;  </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memulihkan daya dukung lingkungan, terutama DAS kritis sebagai dukungan proaktif terhadap fenomena perubahan iklim dunia, dengan menciptakan keseimbangan pemanfaatan ruang antara kawasan lindung dengan kawasan budidaya dalam satu ekosistem darat, laut, dan udara, serta terpadu antara wilayah;</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meningkatkan sinergitas, efektifitas dan efisiensi penataan ruang lintas sektor dan lintas wilayah yang konsisten dengan kebijakan Nasional dan Provinsi, termasuk pengembangan prasarana wilayah sesuai daya dukung wilayahnya;</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Secara khusus mengarahkan penataan ruang wilayah pesisir dan pulau-pulau menjadi lebih produktif, lebih terpenuhi pelayanan sosial, ekonomi dan budaya, serta lebih terlayani sistem transportasi, informasi dan komunikasi agar terbangun ekonomi wilayah kelautan secara terpadu dan berkelanjutan;  </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menjadi dasar bagi penyusunan rencana yang bersifat lebih operasional dalam pembangunan dan pemanfaatan ruang di wilayah Kabupaten Kepulauan Selayar seperti penyusunan RTRW Kabupaten/Kota, perencanaan kawasan strategis Kabupaten, penyusunan RPJMD Kabupaten;</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menciptakan kepastian hukum dalam pemanfaatan ruang yang akan merangsang partisipasi masyarakat;</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penetapan lokasi dan fungsi ruang untuk investasi; dan</w:t>
      </w:r>
    </w:p>
    <w:p>
      <w:pPr>
        <w:numPr>
          <w:ilvl w:val="1"/>
          <w:numId w:val="35"/>
        </w:numPr>
        <w:spacing w:after="200" w:line="360" w:lineRule="auto"/>
        <w:ind w:left="1080" w:hanging="374"/>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menjadi pedoman bagi aparat terkait dalam hal pengendalian pemanfaatan ruang, baik melalui pengawasan, perizinan dan penertiban.</w:t>
      </w:r>
    </w:p>
    <w:p>
      <w:pPr>
        <w:spacing w:after="200" w:line="360" w:lineRule="auto"/>
        <w:ind w:left="1800" w:firstLine="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Kebijakan pengembangan struktur ruang meliputi:</w:t>
      </w:r>
    </w:p>
    <w:p>
      <w:pPr>
        <w:numPr>
          <w:ilvl w:val="0"/>
          <w:numId w:val="36"/>
        </w:numPr>
        <w:spacing w:after="20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keterpaduan sistem perkotaan dan perdesaan;</w:t>
      </w:r>
    </w:p>
    <w:p>
      <w:pPr>
        <w:spacing w:after="0" w:line="360" w:lineRule="auto"/>
        <w:ind w:left="1080"/>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keterpaduan sistem perkotaan dan perdesaan sebagaimana dimaksud meliputi:</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mengembangkan perkotaan utama sebagai pusat pelayanan di daerah yaitu di  Benteng dan Pamatata;</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mendorong dan mempersiapkan pengembangan kawasan perkotaan Kayuadi dan Bonerate sebagai PKLP yang pada saatnya dapat disetarakan dengan PKL;</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menjalin kerja sama dengan perkotaan di kabupaten lainnya yang berbatasan untuk menunjang dan mempercepat perkembangan sistem perkotaan di wilayah Kabupaten;  </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mendorong pengembangan Perkotaan Benteng, Pamatata, Kayuadi dan Bonerate sebagai PKL dan PKLp dalam sistem perkotaan secara Nasional; </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kawasan perdesaan sesuai potensi kawasan yang dihubungkan dengan pusat kegiatan pada setiap kawasan perdesaan;</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kawasan agropolitan dan minapolitan untuk mendorong pertumbuhan kawasan perdesaan di wilayah Kabupaten; dan</w:t>
      </w:r>
    </w:p>
    <w:p>
      <w:pPr>
        <w:numPr>
          <w:ilvl w:val="0"/>
          <w:numId w:val="37"/>
        </w:numPr>
        <w:tabs>
          <w:tab w:val="left" w:pos="1440"/>
        </w:tabs>
        <w:autoSpaceDE w:val="0"/>
        <w:autoSpaceDN w:val="0"/>
        <w:adjustRightInd w:val="0"/>
        <w:spacing w:after="0" w:line="360" w:lineRule="auto"/>
        <w:ind w:left="1440" w:hanging="360"/>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pusat desa mulai dari tingkat dusun sampai pusat desa secara berhierarki.</w:t>
      </w:r>
    </w:p>
    <w:p>
      <w:pPr>
        <w:numPr>
          <w:ilvl w:val="0"/>
          <w:numId w:val="36"/>
        </w:numPr>
        <w:spacing w:after="20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aksesibilitas jaringan transportasi kepulauan;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aksesibilitas jaringan transportasi kepulauan sebagaimana dimaksud meliputi:</w:t>
      </w:r>
    </w:p>
    <w:p>
      <w:pPr>
        <w:numPr>
          <w:ilvl w:val="2"/>
          <w:numId w:val="35"/>
        </w:numPr>
        <w:spacing w:after="20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jaringan jalan secara hierarkis yang menghubungkan antar pusat-pusat kegiatan pelayanan perkotaan dan antara pusat-pusat kegiatan dengan masing-masing wilayah pelayanan;</w:t>
      </w:r>
    </w:p>
    <w:p>
      <w:pPr>
        <w:numPr>
          <w:ilvl w:val="2"/>
          <w:numId w:val="35"/>
        </w:numPr>
        <w:spacing w:after="20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integrasi sistem inter moda dan perpindahan antar moda di seluruh wilayah kepulauan.</w:t>
      </w:r>
    </w:p>
    <w:p>
      <w:pPr>
        <w:numPr>
          <w:ilvl w:val="2"/>
          <w:numId w:val="35"/>
        </w:numPr>
        <w:spacing w:after="20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rute-rute pelayanan moda transportasi publik menjangkau seluruh wilayah kepulauan sesuai dengan intensitas aktivitas; dan</w:t>
      </w:r>
    </w:p>
    <w:p>
      <w:pPr>
        <w:numPr>
          <w:ilvl w:val="2"/>
          <w:numId w:val="35"/>
        </w:numPr>
        <w:spacing w:after="20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dan meningkatkan kualitas layanan terminal umum, bandara, pelabuhan dan penyeberangan sebagai simpul transportasi.</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Pembangunan prasarana dan sarana wilayah yang berkualitas untuk pemenuhan hak dasar dan  dalam  rangka  pe</w:t>
      </w:r>
      <w:r>
        <w:rPr>
          <w:rFonts w:ascii="Bookman Old Style" w:hAnsi="Bookman Old Style" w:eastAsia="Times New Roman" w:cs="Tahoma"/>
          <w:color w:val="000000" w:themeColor="text1"/>
          <w:sz w:val="24"/>
          <w:szCs w:val="24"/>
          <w:lang w:val="id-ID"/>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wujudan  tujuan  penataan  ruang  yang  berimbang  dan  berbasis konservasi serta mitigasi bencana.</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pembangunan prasarana dan sarana wilayah yang berkualitas untuk pemenuhan hak dasar dan  dalam  rangka  pe</w:t>
      </w:r>
      <w:r>
        <w:rPr>
          <w:rFonts w:ascii="Bookman Old Style" w:hAnsi="Bookman Old Style" w:eastAsia="Times New Roman" w:cs="Tahoma"/>
          <w:color w:val="000000" w:themeColor="text1"/>
          <w:sz w:val="24"/>
          <w:szCs w:val="24"/>
          <w:lang w:val="id-ID"/>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wujudan  tujuan  penataan  ruang  yang  berimbang  dan  berbasis konservasi serta mitigasi bencana sebagaimana dimaksud  di atas, meliputi :</w:t>
      </w:r>
    </w:p>
    <w:p>
      <w:pPr>
        <w:numPr>
          <w:ilvl w:val="1"/>
          <w:numId w:val="38"/>
        </w:numPr>
        <w:spacing w:after="20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membangun prasarana  dan  sarana  transportasi  yang  mampu  mendorong pertumbuhan ekonomi kawasan secara signifikan dan berimbang;</w:t>
      </w:r>
    </w:p>
    <w:p>
      <w:pPr>
        <w:numPr>
          <w:ilvl w:val="1"/>
          <w:numId w:val="38"/>
        </w:numPr>
        <w:spacing w:after="200" w:line="360" w:lineRule="auto"/>
        <w:ind w:left="144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membangun utilitas dan fasilitas sosial secara proporsional dan memadai sesuai kebutuhan masyarakat pada setiap pusat permukiman; dan </w:t>
      </w:r>
    </w:p>
    <w:p>
      <w:pPr>
        <w:numPr>
          <w:ilvl w:val="1"/>
          <w:numId w:val="38"/>
        </w:numPr>
        <w:spacing w:after="200" w:line="360" w:lineRule="auto"/>
        <w:ind w:left="144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menyusun</w:t>
      </w:r>
      <w:r>
        <w:rPr>
          <w:rFonts w:ascii="Bookman Old Style" w:hAnsi="Bookman Old Style" w:eastAsia="Times New Roman" w:cs="Tahoma"/>
          <w:color w:val="000000" w:themeColor="text1"/>
          <w:sz w:val="24"/>
          <w:szCs w:val="24"/>
          <w:lang w:val="zh-CN"/>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 xml:space="preserve">program dan membangun berbagai perangkat keras dan lunak untuk mitigasi berbagai bencana alam, seperti tsunami, gempa, longsor, banjir, kebakaran hutan dan ancaman lainnya. </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Pemantapan fungsi kawasan lindung.</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pemantapan fungsi kawasan lindung sebagaimana dimaksud  di atas, meliputi:</w:t>
      </w:r>
    </w:p>
    <w:p>
      <w:pPr>
        <w:numPr>
          <w:ilvl w:val="0"/>
          <w:numId w:val="3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menetapkan tata batas kawasan lindung dan budidaya untuk memberikan kepastian rencana pemanfaatan ruang dan investasi</w:t>
      </w:r>
      <w:r>
        <w:rPr>
          <w:rFonts w:ascii="Bookman Old Style" w:hAnsi="Bookman Old Style" w:eastAsia="Times New Roman" w:cs="Tahoma"/>
          <w:color w:val="000000" w:themeColor="text1"/>
          <w:sz w:val="24"/>
          <w:szCs w:val="24"/>
          <w:lang w:val="id-ID"/>
          <w14:textFill>
            <w14:solidFill>
              <w14:schemeClr w14:val="tx1"/>
            </w14:solidFill>
          </w14:textFill>
        </w:rPr>
        <w:t xml:space="preserve"> yang menjadi kewenangan daerah</w:t>
      </w:r>
      <w:r>
        <w:rPr>
          <w:rFonts w:ascii="Bookman Old Style" w:hAnsi="Bookman Old Style" w:eastAsia="Times New Roman" w:cs="Tahoma"/>
          <w:color w:val="000000" w:themeColor="text1"/>
          <w:sz w:val="24"/>
          <w:szCs w:val="24"/>
          <w14:textFill>
            <w14:solidFill>
              <w14:schemeClr w14:val="tx1"/>
            </w14:solidFill>
          </w14:textFill>
        </w:rPr>
        <w:t>;</w:t>
      </w:r>
    </w:p>
    <w:p>
      <w:pPr>
        <w:numPr>
          <w:ilvl w:val="0"/>
          <w:numId w:val="3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menyusun dan melaksanakan program rehabilitasi lingkungan, terutama pemulihan </w:t>
      </w:r>
      <w:r>
        <w:rPr>
          <w:rFonts w:ascii="Bookman Old Style" w:hAnsi="Bookman Old Style" w:eastAsia="Times New Roman" w:cs="Tahoma"/>
          <w:color w:val="000000" w:themeColor="text1"/>
          <w:sz w:val="24"/>
          <w:szCs w:val="24"/>
          <w:lang w:val="id-ID"/>
          <w14:textFill>
            <w14:solidFill>
              <w14:schemeClr w14:val="tx1"/>
            </w14:solidFill>
          </w14:textFill>
        </w:rPr>
        <w:t>lingkungan yang berfungsi lindung;</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numPr>
          <w:ilvl w:val="0"/>
          <w:numId w:val="3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pengelolaan  lingkungan  hidup  dan  pengendalian  kerusakan  dan pencemaran lingkungan;</w:t>
      </w:r>
    </w:p>
    <w:p>
      <w:pPr>
        <w:numPr>
          <w:ilvl w:val="0"/>
          <w:numId w:val="3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kapasitas masyarakat dalam pengelolaan sumber  keanekaragaman hayati; dan</w:t>
      </w:r>
    </w:p>
    <w:p>
      <w:pPr>
        <w:numPr>
          <w:ilvl w:val="0"/>
          <w:numId w:val="3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memfasilitasi</w:t>
      </w:r>
      <w:r>
        <w:rPr>
          <w:rFonts w:ascii="Bookman Old Style" w:hAnsi="Bookman Old Style" w:eastAsia="Times New Roman" w:cs="Tahoma"/>
          <w:color w:val="000000" w:themeColor="text1"/>
          <w:sz w:val="24"/>
          <w:szCs w:val="24"/>
          <w14:textFill>
            <w14:solidFill>
              <w14:schemeClr w14:val="tx1"/>
            </w14:solidFill>
          </w14:textFill>
        </w:rPr>
        <w:t xml:space="preserve"> kerja sama regional, nasional dan internasional dalam rangka pemulihan fungsi kawasan </w:t>
      </w:r>
      <w:r>
        <w:rPr>
          <w:rFonts w:ascii="Bookman Old Style" w:hAnsi="Bookman Old Style" w:eastAsia="Times New Roman" w:cs="Tahoma"/>
          <w:color w:val="000000" w:themeColor="text1"/>
          <w:sz w:val="24"/>
          <w:szCs w:val="24"/>
          <w:lang w:val="id-ID"/>
          <w14:textFill>
            <w14:solidFill>
              <w14:schemeClr w14:val="tx1"/>
            </w14:solidFill>
          </w14:textFill>
        </w:rPr>
        <w:t>yang berfungsi lindung</w:t>
      </w:r>
      <w:r>
        <w:rPr>
          <w:rFonts w:ascii="Bookman Old Style" w:hAnsi="Bookman Old Style" w:eastAsia="Times New Roman" w:cs="Tahoma"/>
          <w:color w:val="000000" w:themeColor="text1"/>
          <w:sz w:val="24"/>
          <w:szCs w:val="24"/>
          <w14:textFill>
            <w14:solidFill>
              <w14:schemeClr w14:val="tx1"/>
            </w14:solidFill>
          </w14:textFill>
        </w:rPr>
        <w:t>.</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Pemanfaatan potensi sumber daya alam yang ramah lingkungan guna mendorong pengembangan ekonomi wilayah.</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pemanfaatan potensi sumber daya alam yang ramah lingkungan guna mendorong pengembangan ekonomi wilayah sebagaimana dimaksud  di atas, meliputi:</w:t>
      </w:r>
    </w:p>
    <w:p>
      <w:pPr>
        <w:numPr>
          <w:ilvl w:val="2"/>
          <w:numId w:val="40"/>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w:t>
      </w:r>
      <w:r>
        <w:rPr>
          <w:rFonts w:ascii="Bookman Old Style" w:hAnsi="Bookman Old Style" w:eastAsia="Times New Roman" w:cs="Tahoma"/>
          <w:color w:val="000000" w:themeColor="text1"/>
          <w:sz w:val="24"/>
          <w:szCs w:val="24"/>
          <w:lang w:val="id-ID"/>
          <w14:textFill>
            <w14:solidFill>
              <w14:schemeClr w14:val="tx1"/>
            </w14:solidFill>
          </w14:textFill>
        </w:rPr>
        <w:t xml:space="preserve">sumber </w:t>
      </w:r>
      <w:r>
        <w:rPr>
          <w:rFonts w:ascii="Bookman Old Style" w:hAnsi="Bookman Old Style" w:eastAsia="Times New Roman" w:cs="Tahoma"/>
          <w:color w:val="000000" w:themeColor="text1"/>
          <w:sz w:val="24"/>
          <w:szCs w:val="24"/>
          <w14:textFill>
            <w14:solidFill>
              <w14:schemeClr w14:val="tx1"/>
            </w14:solidFill>
          </w14:textFill>
        </w:rPr>
        <w:t>energi terbarukan sebagai sumber listrik;</w:t>
      </w:r>
    </w:p>
    <w:p>
      <w:pPr>
        <w:numPr>
          <w:ilvl w:val="2"/>
          <w:numId w:val="40"/>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kegiatan konservasi yang bernilai lingkungan dan sekaligus juga bernilai sosial ekonomi; dan</w:t>
      </w:r>
    </w:p>
    <w:p>
      <w:pPr>
        <w:numPr>
          <w:ilvl w:val="2"/>
          <w:numId w:val="40"/>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w:t>
      </w:r>
      <w:r>
        <w:rPr>
          <w:rFonts w:ascii="Bookman Old Style" w:hAnsi="Bookman Old Style" w:eastAsia="Times New Roman" w:cs="Tahoma"/>
          <w:color w:val="000000" w:themeColor="text1"/>
          <w:spacing w:val="60"/>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k</w:t>
      </w:r>
      <w:r>
        <w:rPr>
          <w:rFonts w:ascii="Bookman Old Style" w:hAnsi="Bookman Old Style" w:eastAsia="Times New Roman" w:cs="Tahoma"/>
          <w:color w:val="000000" w:themeColor="text1"/>
          <w:spacing w:val="1"/>
          <w:sz w:val="24"/>
          <w:szCs w:val="24"/>
          <w14:textFill>
            <w14:solidFill>
              <w14:schemeClr w14:val="tx1"/>
            </w14:solidFill>
          </w14:textFill>
        </w:rPr>
        <w:t>a</w:t>
      </w:r>
      <w:r>
        <w:rPr>
          <w:rFonts w:ascii="Bookman Old Style" w:hAnsi="Bookman Old Style" w:eastAsia="Times New Roman" w:cs="Tahoma"/>
          <w:color w:val="000000" w:themeColor="text1"/>
          <w:sz w:val="24"/>
          <w:szCs w:val="24"/>
          <w14:textFill>
            <w14:solidFill>
              <w14:schemeClr w14:val="tx1"/>
            </w14:solidFill>
          </w14:textFill>
        </w:rPr>
        <w:t>pa</w:t>
      </w:r>
      <w:r>
        <w:rPr>
          <w:rFonts w:ascii="Bookman Old Style" w:hAnsi="Bookman Old Style" w:eastAsia="Times New Roman" w:cs="Tahoma"/>
          <w:color w:val="000000" w:themeColor="text1"/>
          <w:spacing w:val="1"/>
          <w:sz w:val="24"/>
          <w:szCs w:val="24"/>
          <w14:textFill>
            <w14:solidFill>
              <w14:schemeClr w14:val="tx1"/>
            </w14:solidFill>
          </w14:textFill>
        </w:rPr>
        <w:t>s</w:t>
      </w:r>
      <w:r>
        <w:rPr>
          <w:rFonts w:ascii="Bookman Old Style" w:hAnsi="Bookman Old Style" w:eastAsia="Times New Roman" w:cs="Tahoma"/>
          <w:color w:val="000000" w:themeColor="text1"/>
          <w:sz w:val="24"/>
          <w:szCs w:val="24"/>
          <w14:textFill>
            <w14:solidFill>
              <w14:schemeClr w14:val="tx1"/>
            </w14:solidFill>
          </w14:textFill>
        </w:rPr>
        <w:t xml:space="preserve">itas  </w:t>
      </w:r>
      <w:r>
        <w:rPr>
          <w:rFonts w:ascii="Bookman Old Style" w:hAnsi="Bookman Old Style" w:eastAsia="Times New Roman" w:cs="Tahoma"/>
          <w:color w:val="000000" w:themeColor="text1"/>
          <w:spacing w:val="4"/>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masyara</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at  </w:t>
      </w:r>
      <w:r>
        <w:rPr>
          <w:rFonts w:ascii="Bookman Old Style" w:hAnsi="Bookman Old Style" w:eastAsia="Times New Roman" w:cs="Tahoma"/>
          <w:color w:val="000000" w:themeColor="text1"/>
          <w:spacing w:val="2"/>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da</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 xml:space="preserve">am  </w:t>
      </w:r>
      <w:r>
        <w:rPr>
          <w:rFonts w:ascii="Bookman Old Style" w:hAnsi="Bookman Old Style" w:eastAsia="Times New Roman" w:cs="Tahoma"/>
          <w:color w:val="000000" w:themeColor="text1"/>
          <w:spacing w:val="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pemanfaatan   s</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 xml:space="preserve">mber  </w:t>
      </w:r>
      <w:r>
        <w:rPr>
          <w:rFonts w:ascii="Bookman Old Style" w:hAnsi="Bookman Old Style" w:eastAsia="Times New Roman" w:cs="Tahoma"/>
          <w:color w:val="000000" w:themeColor="text1"/>
          <w:spacing w:val="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en</w:t>
      </w:r>
      <w:r>
        <w:rPr>
          <w:rFonts w:ascii="Bookman Old Style" w:hAnsi="Bookman Old Style" w:eastAsia="Times New Roman" w:cs="Tahoma"/>
          <w:color w:val="000000" w:themeColor="text1"/>
          <w:spacing w:val="1"/>
          <w:sz w:val="24"/>
          <w:szCs w:val="24"/>
          <w14:textFill>
            <w14:solidFill>
              <w14:schemeClr w14:val="tx1"/>
            </w14:solidFill>
          </w14:textFill>
        </w:rPr>
        <w:t>e</w:t>
      </w:r>
      <w:r>
        <w:rPr>
          <w:rFonts w:ascii="Bookman Old Style" w:hAnsi="Bookman Old Style" w:eastAsia="Times New Roman" w:cs="Tahoma"/>
          <w:color w:val="000000" w:themeColor="text1"/>
          <w:sz w:val="24"/>
          <w:szCs w:val="24"/>
          <w14:textFill>
            <w14:solidFill>
              <w14:schemeClr w14:val="tx1"/>
            </w14:solidFill>
          </w14:textFill>
        </w:rPr>
        <w:t>rgi  yang terbaru</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an</w:t>
      </w:r>
      <w:r>
        <w:rPr>
          <w:rFonts w:ascii="Bookman Old Style" w:hAnsi="Bookman Old Style" w:eastAsia="Times New Roman" w:cs="Tahoma"/>
          <w:color w:val="000000" w:themeColor="text1"/>
          <w:spacing w:val="-11"/>
          <w:sz w:val="24"/>
          <w:szCs w:val="24"/>
          <w:lang w:val="id-ID"/>
          <w14:textFill>
            <w14:solidFill>
              <w14:schemeClr w14:val="tx1"/>
            </w14:solidFill>
          </w14:textFill>
        </w:rPr>
        <w:t>.</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Peningkatan produktivitas wilayah melalui intensifikasi lahan dan  modernisasi pertanian dengan pengelolaan yang ramah lingkungan.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peningkatan produktivitas wilayah melalui intensifikasi lahan dan modernisasi pertanian dengan pengelolaan yang ramah lingkungan sebagaimana dimaksud  di atas, meliputi:</w:t>
      </w:r>
    </w:p>
    <w:p>
      <w:pPr>
        <w:numPr>
          <w:ilvl w:val="0"/>
          <w:numId w:val="4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produktivitas  hasil  perkebunan,  pertanian  dan  kehutanan  melalui intensifikasi lahan;</w:t>
      </w:r>
    </w:p>
    <w:p>
      <w:pPr>
        <w:numPr>
          <w:ilvl w:val="0"/>
          <w:numId w:val="4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memanfaatkan lahan non produktif secara lebih bermakna bagi peningkatan kualitas lingkungan dan peningkatan pendapatan masyarakat;</w:t>
      </w:r>
    </w:p>
    <w:p>
      <w:pPr>
        <w:numPr>
          <w:ilvl w:val="0"/>
          <w:numId w:val="4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teknologi pertanian, termasuk perkebunan, perikanan, peternakan dan kehutanan sehingga terjadi peningkatan produksi dengan kualitas yang lebih baik dan bernilai ekonomi tinggi; dan</w:t>
      </w:r>
    </w:p>
    <w:p>
      <w:pPr>
        <w:numPr>
          <w:ilvl w:val="0"/>
          <w:numId w:val="4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pemasaran hasil pertanian, perkebunan, perikanan, peternakan dan kehutanan</w:t>
      </w:r>
      <w:r>
        <w:rPr>
          <w:rFonts w:ascii="Bookman Old Style" w:hAnsi="Bookman Old Style" w:eastAsia="Times New Roman" w:cs="Tahoma"/>
          <w:color w:val="000000" w:themeColor="text1"/>
          <w:spacing w:val="7"/>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mela</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ui</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pe</w:t>
      </w:r>
      <w:r>
        <w:rPr>
          <w:rFonts w:ascii="Bookman Old Style" w:hAnsi="Bookman Old Style" w:eastAsia="Times New Roman" w:cs="Tahoma"/>
          <w:color w:val="000000" w:themeColor="text1"/>
          <w:spacing w:val="1"/>
          <w:sz w:val="24"/>
          <w:szCs w:val="24"/>
          <w14:textFill>
            <w14:solidFill>
              <w14:schemeClr w14:val="tx1"/>
            </w14:solidFill>
          </w14:textFill>
        </w:rPr>
        <w:t>n</w:t>
      </w:r>
      <w:r>
        <w:rPr>
          <w:rFonts w:ascii="Bookman Old Style" w:hAnsi="Bookman Old Style" w:eastAsia="Times New Roman" w:cs="Tahoma"/>
          <w:color w:val="000000" w:themeColor="text1"/>
          <w:sz w:val="24"/>
          <w:szCs w:val="24"/>
          <w14:textFill>
            <w14:solidFill>
              <w14:schemeClr w14:val="tx1"/>
            </w14:solidFill>
          </w14:textFill>
        </w:rPr>
        <w:t>ing</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w:t>
      </w:r>
      <w:r>
        <w:rPr>
          <w:rFonts w:ascii="Bookman Old Style" w:hAnsi="Bookman Old Style" w:eastAsia="Times New Roman" w:cs="Tahoma"/>
          <w:color w:val="000000" w:themeColor="text1"/>
          <w:spacing w:val="-1"/>
          <w:sz w:val="24"/>
          <w:szCs w:val="24"/>
          <w14:textFill>
            <w14:solidFill>
              <w14:schemeClr w14:val="tx1"/>
            </w14:solidFill>
          </w14:textFill>
        </w:rPr>
        <w:t>t</w:t>
      </w:r>
      <w:r>
        <w:rPr>
          <w:rFonts w:ascii="Bookman Old Style" w:hAnsi="Bookman Old Style" w:eastAsia="Times New Roman" w:cs="Tahoma"/>
          <w:color w:val="000000" w:themeColor="text1"/>
          <w:sz w:val="24"/>
          <w:szCs w:val="24"/>
          <w14:textFill>
            <w14:solidFill>
              <w14:schemeClr w14:val="tx1"/>
            </w14:solidFill>
          </w14:textFill>
        </w:rPr>
        <w:t>an</w:t>
      </w:r>
      <w:r>
        <w:rPr>
          <w:rFonts w:ascii="Bookman Old Style" w:hAnsi="Bookman Old Style" w:eastAsia="Times New Roman" w:cs="Tahoma"/>
          <w:color w:val="000000" w:themeColor="text1"/>
          <w:spacing w:val="4"/>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mber</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pacing w:val="6"/>
          <w:sz w:val="24"/>
          <w:szCs w:val="24"/>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aya</w:t>
      </w:r>
      <w:r>
        <w:rPr>
          <w:rFonts w:ascii="Bookman Old Style" w:hAnsi="Bookman Old Style" w:eastAsia="Times New Roman" w:cs="Tahoma"/>
          <w:color w:val="000000" w:themeColor="text1"/>
          <w:spacing w:val="10"/>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man</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s</w:t>
      </w:r>
      <w:r>
        <w:rPr>
          <w:rFonts w:ascii="Bookman Old Style" w:hAnsi="Bookman Old Style" w:eastAsia="Times New Roman" w:cs="Tahoma"/>
          <w:color w:val="000000" w:themeColor="text1"/>
          <w:spacing w:val="1"/>
          <w:sz w:val="24"/>
          <w:szCs w:val="24"/>
          <w14:textFill>
            <w14:solidFill>
              <w14:schemeClr w14:val="tx1"/>
            </w14:solidFill>
          </w14:textFill>
        </w:rPr>
        <w:t>i</w:t>
      </w:r>
      <w:r>
        <w:rPr>
          <w:rFonts w:ascii="Bookman Old Style" w:hAnsi="Bookman Old Style" w:eastAsia="Times New Roman" w:cs="Tahoma"/>
          <w:color w:val="000000" w:themeColor="text1"/>
          <w:sz w:val="24"/>
          <w:szCs w:val="24"/>
          <w14:textFill>
            <w14:solidFill>
              <w14:schemeClr w14:val="tx1"/>
            </w14:solidFill>
          </w14:textFill>
        </w:rPr>
        <w:t>a dan</w:t>
      </w:r>
      <w:r>
        <w:rPr>
          <w:rFonts w:ascii="Bookman Old Style" w:hAnsi="Bookman Old Style" w:eastAsia="Times New Roman" w:cs="Tahoma"/>
          <w:color w:val="000000" w:themeColor="text1"/>
          <w:spacing w:val="-3"/>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kelembagaan</w:t>
      </w:r>
      <w:r>
        <w:rPr>
          <w:rFonts w:ascii="Bookman Old Style" w:hAnsi="Bookman Old Style" w:eastAsia="Times New Roman" w:cs="Tahoma"/>
          <w:color w:val="000000" w:themeColor="text1"/>
          <w:spacing w:val="-12"/>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serta</w:t>
      </w:r>
      <w:r>
        <w:rPr>
          <w:rFonts w:ascii="Bookman Old Style" w:hAnsi="Bookman Old Style" w:eastAsia="Times New Roman" w:cs="Tahoma"/>
          <w:color w:val="000000" w:themeColor="text1"/>
          <w:spacing w:val="5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fa</w:t>
      </w:r>
      <w:r>
        <w:rPr>
          <w:rFonts w:ascii="Bookman Old Style" w:hAnsi="Bookman Old Style" w:eastAsia="Times New Roman" w:cs="Tahoma"/>
          <w:color w:val="000000" w:themeColor="text1"/>
          <w:spacing w:val="1"/>
          <w:sz w:val="24"/>
          <w:szCs w:val="24"/>
          <w14:textFill>
            <w14:solidFill>
              <w14:schemeClr w14:val="tx1"/>
            </w14:solidFill>
          </w14:textFill>
        </w:rPr>
        <w:t>s</w:t>
      </w:r>
      <w:r>
        <w:rPr>
          <w:rFonts w:ascii="Bookman Old Style" w:hAnsi="Bookman Old Style" w:eastAsia="Times New Roman" w:cs="Tahoma"/>
          <w:color w:val="000000" w:themeColor="text1"/>
          <w:sz w:val="24"/>
          <w:szCs w:val="24"/>
          <w14:textFill>
            <w14:solidFill>
              <w14:schemeClr w14:val="tx1"/>
            </w14:solidFill>
          </w14:textFill>
        </w:rPr>
        <w:t>i</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itasi</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se</w:t>
      </w:r>
      <w:r>
        <w:rPr>
          <w:rFonts w:ascii="Bookman Old Style" w:hAnsi="Bookman Old Style" w:eastAsia="Times New Roman" w:cs="Tahoma"/>
          <w:color w:val="000000" w:themeColor="text1"/>
          <w:spacing w:val="-1"/>
          <w:sz w:val="24"/>
          <w:szCs w:val="24"/>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tifi</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asi</w:t>
      </w:r>
      <w:r>
        <w:rPr>
          <w:rFonts w:ascii="Bookman Old Style" w:hAnsi="Bookman Old Style" w:eastAsia="Times New Roman" w:cs="Tahoma"/>
          <w:color w:val="000000" w:themeColor="text1"/>
          <w:spacing w:val="-7"/>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yang</w:t>
      </w:r>
      <w:r>
        <w:rPr>
          <w:rFonts w:ascii="Bookman Old Style" w:hAnsi="Bookman Old Style" w:eastAsia="Times New Roman" w:cs="Tahoma"/>
          <w:color w:val="000000" w:themeColor="text1"/>
          <w:spacing w:val="-5"/>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dibutuh</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an.</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sektor ekonomi sekunder dan tersier berbasis agro dan kelautan sesuai keunggulan kawasan yang bernilai ekonomi tinggi, dikelola secara berhasil guna, terpadu dan ramah lingkungan.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Strategi pengembangan sektor ekonomi sekunder dan tersier berbasis agro dan kelautan sesuai keunggulan kawasan yang bernilai ekonomi tinggi, dikelola  secara  berhasil  guna, terpadu dan ramah lingkungan </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sebagaimana dimaksud  di atas, meliputi:</w:t>
      </w:r>
    </w:p>
    <w:p>
      <w:pPr>
        <w:numPr>
          <w:ilvl w:val="0"/>
          <w:numId w:val="42"/>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industri pengolahan hasil kegiatan agro sesuai komoditas unggulan kawasan dan kebutuhan pasar;</w:t>
      </w:r>
    </w:p>
    <w:p>
      <w:pPr>
        <w:numPr>
          <w:ilvl w:val="0"/>
          <w:numId w:val="42"/>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penelitian dan pengelolaan sumber daya kelautan dan perikanan sehingga menjadi kekuatan utama ekonomi masyarakat pesisir; dan</w:t>
      </w:r>
    </w:p>
    <w:p>
      <w:pPr>
        <w:numPr>
          <w:ilvl w:val="0"/>
          <w:numId w:val="42"/>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kegiatan pariwisata melalui peningkatan prasarana dan sarana pendukung, pengelolaan objek wisata yang lebih profesional serta pemasaran yang lebih agresif dan efektif.</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Kawasan P</w:t>
      </w:r>
      <w:r>
        <w:rPr>
          <w:rFonts w:ascii="Bookman Old Style" w:hAnsi="Bookman Old Style" w:eastAsia="Times New Roman" w:cs="Tahoma"/>
          <w:color w:val="000000" w:themeColor="text1"/>
          <w:sz w:val="24"/>
          <w:szCs w:val="24"/>
          <w14:textFill>
            <w14:solidFill>
              <w14:schemeClr w14:val="tx1"/>
            </w14:solidFill>
          </w14:textFill>
        </w:rPr>
        <w:t xml:space="preserve">usat </w:t>
      </w:r>
      <w:r>
        <w:rPr>
          <w:rFonts w:ascii="Bookman Old Style" w:hAnsi="Bookman Old Style" w:eastAsia="Times New Roman" w:cs="Tahoma"/>
          <w:color w:val="000000" w:themeColor="text1"/>
          <w:sz w:val="24"/>
          <w:szCs w:val="24"/>
          <w:lang w:val="id-ID"/>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 xml:space="preserve">istribusi </w:t>
      </w:r>
      <w:r>
        <w:rPr>
          <w:rFonts w:ascii="Bookman Old Style" w:hAnsi="Bookman Old Style" w:eastAsia="Times New Roman" w:cs="Tahoma"/>
          <w:color w:val="000000" w:themeColor="text1"/>
          <w:sz w:val="24"/>
          <w:szCs w:val="24"/>
          <w:lang w:val="id-ID"/>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ebutuhan </w:t>
      </w:r>
      <w:r>
        <w:rPr>
          <w:rFonts w:ascii="Bookman Old Style" w:hAnsi="Bookman Old Style" w:eastAsia="Times New Roman" w:cs="Tahoma"/>
          <w:color w:val="000000" w:themeColor="text1"/>
          <w:sz w:val="24"/>
          <w:szCs w:val="24"/>
          <w:lang w:val="id-ID"/>
          <w14:textFill>
            <w14:solidFill>
              <w14:schemeClr w14:val="tx1"/>
            </w14:solidFill>
          </w14:textFill>
        </w:rPr>
        <w:t>B</w:t>
      </w:r>
      <w:r>
        <w:rPr>
          <w:rFonts w:ascii="Bookman Old Style" w:hAnsi="Bookman Old Style" w:eastAsia="Times New Roman" w:cs="Tahoma"/>
          <w:color w:val="000000" w:themeColor="text1"/>
          <w:sz w:val="24"/>
          <w:szCs w:val="24"/>
          <w14:textFill>
            <w14:solidFill>
              <w14:schemeClr w14:val="tx1"/>
            </w14:solidFill>
          </w14:textFill>
        </w:rPr>
        <w:t xml:space="preserve">ahan </w:t>
      </w:r>
      <w:r>
        <w:rPr>
          <w:rFonts w:ascii="Bookman Old Style" w:hAnsi="Bookman Old Style" w:eastAsia="Times New Roman" w:cs="Tahoma"/>
          <w:color w:val="000000" w:themeColor="text1"/>
          <w:sz w:val="24"/>
          <w:szCs w:val="24"/>
          <w:lang w:val="id-ID"/>
          <w14:textFill>
            <w14:solidFill>
              <w14:schemeClr w14:val="tx1"/>
            </w14:solidFill>
          </w14:textFill>
        </w:rPr>
        <w:t>P</w:t>
      </w:r>
      <w:r>
        <w:rPr>
          <w:rFonts w:ascii="Bookman Old Style" w:hAnsi="Bookman Old Style" w:eastAsia="Times New Roman" w:cs="Tahoma"/>
          <w:color w:val="000000" w:themeColor="text1"/>
          <w:sz w:val="24"/>
          <w:szCs w:val="24"/>
          <w14:textFill>
            <w14:solidFill>
              <w14:schemeClr w14:val="tx1"/>
            </w14:solidFill>
          </w14:textFill>
        </w:rPr>
        <w:t xml:space="preserve">okok </w:t>
      </w:r>
      <w:r>
        <w:rPr>
          <w:rFonts w:ascii="Bookman Old Style" w:hAnsi="Bookman Old Style" w:eastAsia="Times New Roman" w:cs="Tahoma"/>
          <w:color w:val="000000" w:themeColor="text1"/>
          <w:sz w:val="24"/>
          <w:szCs w:val="24"/>
          <w:lang w:val="id-ID"/>
          <w14:textFill>
            <w14:solidFill>
              <w14:schemeClr w14:val="tx1"/>
            </w14:solidFill>
          </w14:textFill>
        </w:rPr>
        <w:t>(Kawasan Timur Indonesia (</w:t>
      </w:r>
      <w:r>
        <w:rPr>
          <w:rFonts w:ascii="Bookman Old Style" w:hAnsi="Bookman Old Style" w:eastAsia="Times New Roman" w:cs="Tahoma"/>
          <w:color w:val="000000" w:themeColor="text1"/>
          <w:sz w:val="24"/>
          <w:szCs w:val="24"/>
          <w14:textFill>
            <w14:solidFill>
              <w14:schemeClr w14:val="tx1"/>
            </w14:solidFill>
          </w14:textFill>
        </w:rPr>
        <w:t>KTI</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 xml:space="preserve"> dan pendukung perminyakan di Pamatata</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Strategi </w:t>
      </w:r>
      <w:r>
        <w:rPr>
          <w:rFonts w:ascii="Bookman Old Style" w:hAnsi="Bookman Old Style" w:eastAsia="Times New Roman" w:cs="Tahoma"/>
          <w:color w:val="000000" w:themeColor="text1"/>
          <w:sz w:val="24"/>
          <w:szCs w:val="24"/>
          <w:lang w:val="id-ID"/>
          <w14:textFill>
            <w14:solidFill>
              <w14:schemeClr w14:val="tx1"/>
            </w14:solidFill>
          </w14:textFill>
        </w:rPr>
        <w:t>Kawasan P</w:t>
      </w:r>
      <w:r>
        <w:rPr>
          <w:rFonts w:ascii="Bookman Old Style" w:hAnsi="Bookman Old Style" w:eastAsia="Times New Roman" w:cs="Tahoma"/>
          <w:color w:val="000000" w:themeColor="text1"/>
          <w:sz w:val="24"/>
          <w:szCs w:val="24"/>
          <w14:textFill>
            <w14:solidFill>
              <w14:schemeClr w14:val="tx1"/>
            </w14:solidFill>
          </w14:textFill>
        </w:rPr>
        <w:t xml:space="preserve">usat </w:t>
      </w:r>
      <w:r>
        <w:rPr>
          <w:rFonts w:ascii="Bookman Old Style" w:hAnsi="Bookman Old Style" w:eastAsia="Times New Roman" w:cs="Tahoma"/>
          <w:color w:val="000000" w:themeColor="text1"/>
          <w:sz w:val="24"/>
          <w:szCs w:val="24"/>
          <w:lang w:val="id-ID"/>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 xml:space="preserve">istribusi </w:t>
      </w:r>
      <w:r>
        <w:rPr>
          <w:rFonts w:ascii="Bookman Old Style" w:hAnsi="Bookman Old Style" w:eastAsia="Times New Roman" w:cs="Tahoma"/>
          <w:color w:val="000000" w:themeColor="text1"/>
          <w:sz w:val="24"/>
          <w:szCs w:val="24"/>
          <w:lang w:val="id-ID"/>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ebutuhan </w:t>
      </w:r>
      <w:r>
        <w:rPr>
          <w:rFonts w:ascii="Bookman Old Style" w:hAnsi="Bookman Old Style" w:eastAsia="Times New Roman" w:cs="Tahoma"/>
          <w:color w:val="000000" w:themeColor="text1"/>
          <w:sz w:val="24"/>
          <w:szCs w:val="24"/>
          <w:lang w:val="id-ID"/>
          <w14:textFill>
            <w14:solidFill>
              <w14:schemeClr w14:val="tx1"/>
            </w14:solidFill>
          </w14:textFill>
        </w:rPr>
        <w:t>B</w:t>
      </w:r>
      <w:r>
        <w:rPr>
          <w:rFonts w:ascii="Bookman Old Style" w:hAnsi="Bookman Old Style" w:eastAsia="Times New Roman" w:cs="Tahoma"/>
          <w:color w:val="000000" w:themeColor="text1"/>
          <w:sz w:val="24"/>
          <w:szCs w:val="24"/>
          <w14:textFill>
            <w14:solidFill>
              <w14:schemeClr w14:val="tx1"/>
            </w14:solidFill>
          </w14:textFill>
        </w:rPr>
        <w:t xml:space="preserve">ahan </w:t>
      </w:r>
      <w:r>
        <w:rPr>
          <w:rFonts w:ascii="Bookman Old Style" w:hAnsi="Bookman Old Style" w:eastAsia="Times New Roman" w:cs="Tahoma"/>
          <w:color w:val="000000" w:themeColor="text1"/>
          <w:sz w:val="24"/>
          <w:szCs w:val="24"/>
          <w:lang w:val="id-ID"/>
          <w14:textFill>
            <w14:solidFill>
              <w14:schemeClr w14:val="tx1"/>
            </w14:solidFill>
          </w14:textFill>
        </w:rPr>
        <w:t>P</w:t>
      </w:r>
      <w:r>
        <w:rPr>
          <w:rFonts w:ascii="Bookman Old Style" w:hAnsi="Bookman Old Style" w:eastAsia="Times New Roman" w:cs="Tahoma"/>
          <w:color w:val="000000" w:themeColor="text1"/>
          <w:sz w:val="24"/>
          <w:szCs w:val="24"/>
          <w14:textFill>
            <w14:solidFill>
              <w14:schemeClr w14:val="tx1"/>
            </w14:solidFill>
          </w14:textFill>
        </w:rPr>
        <w:t xml:space="preserve">okok </w:t>
      </w:r>
      <w:r>
        <w:rPr>
          <w:rFonts w:ascii="Bookman Old Style" w:hAnsi="Bookman Old Style" w:eastAsia="Times New Roman" w:cs="Tahoma"/>
          <w:color w:val="000000" w:themeColor="text1"/>
          <w:sz w:val="24"/>
          <w:szCs w:val="24"/>
          <w:lang w:val="id-ID"/>
          <w14:textFill>
            <w14:solidFill>
              <w14:schemeClr w14:val="tx1"/>
            </w14:solidFill>
          </w14:textFill>
        </w:rPr>
        <w:t>Kawasan Timur Indonesia (</w:t>
      </w:r>
      <w:r>
        <w:rPr>
          <w:rFonts w:ascii="Bookman Old Style" w:hAnsi="Bookman Old Style" w:eastAsia="Times New Roman" w:cs="Tahoma"/>
          <w:color w:val="000000" w:themeColor="text1"/>
          <w:sz w:val="24"/>
          <w:szCs w:val="24"/>
          <w14:textFill>
            <w14:solidFill>
              <w14:schemeClr w14:val="tx1"/>
            </w14:solidFill>
          </w14:textFill>
        </w:rPr>
        <w:t>KTI</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 xml:space="preserve"> dan pendukung perminyakan di Pamatata sebagaimana dimaksud  di atas, meliputi:</w:t>
      </w:r>
    </w:p>
    <w:p>
      <w:pPr>
        <w:numPr>
          <w:ilvl w:val="0"/>
          <w:numId w:val="43"/>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perencanaan, implementasi, monitoring, dan evaluasi kegiatan dilakukan secara lintas sektor dan dikoordinasikan oleh Kementerian Koordinator Bidang Perekonomian;</w:t>
      </w:r>
    </w:p>
    <w:p>
      <w:pPr>
        <w:numPr>
          <w:ilvl w:val="0"/>
          <w:numId w:val="43"/>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memprioritaskan program jangka pendek yang mampu memberikan efek berantai terhadap perekonomian daerah dan kesejahteraan masyarakat; dan</w:t>
      </w:r>
    </w:p>
    <w:p>
      <w:pPr>
        <w:numPr>
          <w:ilvl w:val="0"/>
          <w:numId w:val="43"/>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menerapkan sistem pembiayaan oleh Pemerintah dan swasta, dan dikoordinasikan oleh Kementerian Koordinator Bidang Perekonomian.</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kawasan industri perikanan terpadu dan pusat budidaya ikan karang nasional</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kawasan industri perikanan terpadu dan pusat budidaya ikan karang nasional sebagaimana dimaksud  di atas, meliputi:</w:t>
      </w:r>
    </w:p>
    <w:p>
      <w:pPr>
        <w:numPr>
          <w:ilvl w:val="0"/>
          <w:numId w:val="44"/>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industri pengolahan perikanan di Benteng;</w:t>
      </w:r>
    </w:p>
    <w:p>
      <w:pPr>
        <w:numPr>
          <w:ilvl w:val="0"/>
          <w:numId w:val="44"/>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budidaya perikanan berwawasan lingkungan; dan</w:t>
      </w:r>
    </w:p>
    <w:p>
      <w:pPr>
        <w:numPr>
          <w:ilvl w:val="0"/>
          <w:numId w:val="44"/>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industri perikanan terpadu dengan memberdayakan masyarakat lokal dan meningkatkan sinergi di kawasan regional.</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Pengembangan pusat destinasi pariwisata bahari andalan nasional</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pusat  destinasi  pariwisata  bahari  andalan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nasional sebagaimana dimaksud  di atas, meliputi:</w:t>
      </w:r>
    </w:p>
    <w:p>
      <w:pPr>
        <w:numPr>
          <w:ilvl w:val="0"/>
          <w:numId w:val="45"/>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ekowisata bahari di Kawasan Taka Bonerate;</w:t>
      </w:r>
    </w:p>
    <w:p>
      <w:pPr>
        <w:numPr>
          <w:ilvl w:val="0"/>
          <w:numId w:val="45"/>
        </w:numPr>
        <w:spacing w:after="0" w:line="360" w:lineRule="auto"/>
        <w:ind w:left="144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wisata pantai dan bahari di Pulau Selayar dan sekitarnya;</w:t>
      </w:r>
    </w:p>
    <w:p>
      <w:pPr>
        <w:numPr>
          <w:ilvl w:val="0"/>
          <w:numId w:val="45"/>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melibatkan tokoh masyarakat dalam pengembangan pariwisata; dan</w:t>
      </w:r>
    </w:p>
    <w:p>
      <w:pPr>
        <w:numPr>
          <w:ilvl w:val="0"/>
          <w:numId w:val="45"/>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memberdayakan masyarakat melalui pengembangan </w:t>
      </w:r>
      <w:r>
        <w:rPr>
          <w:rFonts w:ascii="Bookman Old Style" w:hAnsi="Bookman Old Style" w:eastAsia="Times New Roman" w:cs="Tahoma"/>
          <w:i/>
          <w:color w:val="000000" w:themeColor="text1"/>
          <w:sz w:val="24"/>
          <w:szCs w:val="24"/>
          <w14:textFill>
            <w14:solidFill>
              <w14:schemeClr w14:val="tx1"/>
            </w14:solidFill>
          </w14:textFill>
        </w:rPr>
        <w:t>home stay</w:t>
      </w:r>
      <w:r>
        <w:rPr>
          <w:rFonts w:ascii="Bookman Old Style" w:hAnsi="Bookman Old Style" w:eastAsia="Times New Roman" w:cs="Tahoma"/>
          <w:color w:val="000000" w:themeColor="text1"/>
          <w:sz w:val="24"/>
          <w:szCs w:val="24"/>
          <w14:textFill>
            <w14:solidFill>
              <w14:schemeClr w14:val="tx1"/>
            </w14:solidFill>
          </w14:textFill>
        </w:rPr>
        <w:t>, desa wisata dan paket wisata lainnya.</w:t>
      </w:r>
    </w:p>
    <w:p>
      <w:pPr>
        <w:numPr>
          <w:ilvl w:val="0"/>
          <w:numId w:val="36"/>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wilayah pesisir dan pulau-pulau kecil yang melibatkan potensi lokal sumber daya manusia untuk mendukung peningkatan aspek bahari dan maritim di wilayah kabupaten.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wilayah pesisir dan pulau-pulau kecil yang melibatkan potensi lokal sumber daya manusia untuk mendukung peningkatan aspek bahari dan maritim di wilayah kabupaten sebagaimana dimaksud  di atas, meliputi:</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w:t>
      </w:r>
      <w:r>
        <w:rPr>
          <w:rFonts w:ascii="Bookman Old Style" w:hAnsi="Bookman Old Style" w:eastAsia="Times New Roman" w:cs="Tahoma"/>
          <w:color w:val="000000" w:themeColor="text1"/>
          <w:sz w:val="24"/>
          <w:szCs w:val="24"/>
          <w:lang w:val="id-ID"/>
          <w14:textFill>
            <w14:solidFill>
              <w14:schemeClr w14:val="tx1"/>
            </w14:solidFill>
          </w14:textFill>
        </w:rPr>
        <w:t xml:space="preserve">eningkatkan keterkaitan antara pusat-pusat kegiatan di wilayah pesisir dan </w:t>
      </w:r>
      <w:r>
        <w:rPr>
          <w:rFonts w:ascii="Bookman Old Style" w:hAnsi="Bookman Old Style" w:eastAsia="Times New Roman" w:cs="Tahoma"/>
          <w:color w:val="000000" w:themeColor="text1"/>
          <w:sz w:val="24"/>
          <w:szCs w:val="24"/>
          <w14:textFill>
            <w14:solidFill>
              <w14:schemeClr w14:val="tx1"/>
            </w14:solidFill>
          </w14:textFill>
        </w:rPr>
        <w:t>p</w:t>
      </w:r>
      <w:r>
        <w:rPr>
          <w:rFonts w:ascii="Bookman Old Style" w:hAnsi="Bookman Old Style" w:eastAsia="Times New Roman" w:cs="Tahoma"/>
          <w:color w:val="000000" w:themeColor="text1"/>
          <w:sz w:val="24"/>
          <w:szCs w:val="24"/>
          <w:lang w:val="id-ID"/>
          <w14:textFill>
            <w14:solidFill>
              <w14:schemeClr w14:val="tx1"/>
            </w14:solidFill>
          </w14:textFill>
        </w:rPr>
        <w:t>ulau-</w:t>
      </w:r>
      <w:r>
        <w:rPr>
          <w:rFonts w:ascii="Bookman Old Style" w:hAnsi="Bookman Old Style" w:eastAsia="Times New Roman" w:cs="Tahoma"/>
          <w:color w:val="000000" w:themeColor="text1"/>
          <w:sz w:val="24"/>
          <w:szCs w:val="24"/>
          <w14:textFill>
            <w14:solidFill>
              <w14:schemeClr w14:val="tx1"/>
            </w14:solidFill>
          </w14:textFill>
        </w:rPr>
        <w:t>p</w:t>
      </w:r>
      <w:r>
        <w:rPr>
          <w:rFonts w:ascii="Bookman Old Style" w:hAnsi="Bookman Old Style" w:eastAsia="Times New Roman" w:cs="Tahoma"/>
          <w:color w:val="000000" w:themeColor="text1"/>
          <w:sz w:val="24"/>
          <w:szCs w:val="24"/>
          <w:lang w:val="id-ID"/>
          <w14:textFill>
            <w14:solidFill>
              <w14:schemeClr w14:val="tx1"/>
            </w14:solidFill>
          </w14:textFill>
        </w:rPr>
        <w:t xml:space="preserve">ulau di </w:t>
      </w:r>
      <w:r>
        <w:rPr>
          <w:rFonts w:ascii="Bookman Old Style" w:hAnsi="Bookman Old Style" w:eastAsia="Times New Roman" w:cs="Tahoma"/>
          <w:color w:val="000000" w:themeColor="text1"/>
          <w:sz w:val="24"/>
          <w:szCs w:val="24"/>
          <w14:textFill>
            <w14:solidFill>
              <w14:schemeClr w14:val="tx1"/>
            </w14:solidFill>
          </w14:textFill>
        </w:rPr>
        <w:t>daerah</w:t>
      </w:r>
      <w:r>
        <w:rPr>
          <w:rFonts w:ascii="Bookman Old Style" w:hAnsi="Bookman Old Style" w:eastAsia="Times New Roman" w:cs="Tahoma"/>
          <w:color w:val="000000" w:themeColor="text1"/>
          <w:sz w:val="24"/>
          <w:szCs w:val="24"/>
          <w:lang w:val="id-ID"/>
          <w14:textFill>
            <w14:solidFill>
              <w14:schemeClr w14:val="tx1"/>
            </w14:solidFill>
          </w14:textFill>
        </w:rPr>
        <w:t xml:space="preserve"> dalam upaya peningkatan pertumbuhan ekonomi;</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mendorong perkembangan kawasan dengan membuka akses transportasi bagi daerah yang terisolir;</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kemampuan kawasan yang memiliki sektor unggulan pertanian untuk mencukupi kebutuhan di kawasannya sendiri serta memenuhi kebutuhan wilayah yang bertetangga;</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meningkatkan pemasaran komoditas lokal yang di dukung oleh akses transportasi yang memadai; </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penyediaan sarana dan prasarana pendukung dalam kegiatan ekonomi di wilayah pesisir;</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meningkatkan fungsi kawasan sebagai penyedia pelayanan jasa dan pusat kegiatan ekonomi, khususnya terkait dengan pelayanan dalam sektor kelautan dan perikanan dan kegiatan masyarakat di sepanjang pantai; </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penyediaan akses transportasi dari pulau-pulau tetangga dan dari pulau-pulau kecil terluar menuju pusat-pusat kegiatan; dan</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meningkatkan daya tarik pusat kegiatan di sepanjang pesisir pantai dengan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keunikan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keadaan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geografis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alam</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tropis,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kondisi </w:t>
      </w:r>
    </w:p>
    <w:p>
      <w:pPr>
        <w:numPr>
          <w:ilvl w:val="0"/>
          <w:numId w:val="4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sosial budaya masyarakat nelayan dan kondisi khas lingkungan sekitar di kawasan pesisir pantai sehingga menarik wisatawan dan menjadikan kawasan sebagai daerah tujuan yang menarik dikunjungi wisatawan.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w:t>
      </w:r>
      <w:r>
        <w:rPr>
          <w:rFonts w:ascii="Bookman Old Style" w:hAnsi="Bookman Old Style" w:eastAsia="Times New Roman" w:cs="Tahoma"/>
          <w:color w:val="000000" w:themeColor="text1"/>
          <w:sz w:val="24"/>
          <w:szCs w:val="24"/>
          <w:lang w:val="id-ID"/>
          <w14:textFill>
            <w14:solidFill>
              <w14:schemeClr w14:val="tx1"/>
            </w14:solidFill>
          </w14:textFill>
        </w:rPr>
        <w:t>ingkatan</w:t>
      </w:r>
      <w:r>
        <w:rPr>
          <w:rFonts w:ascii="Bookman Old Style" w:hAnsi="Bookman Old Style" w:eastAsia="Times New Roman" w:cs="Tahoma"/>
          <w:color w:val="000000" w:themeColor="text1"/>
          <w:sz w:val="24"/>
          <w:szCs w:val="24"/>
          <w14:textFill>
            <w14:solidFill>
              <w14:schemeClr w14:val="tx1"/>
            </w14:solidFill>
          </w14:textFill>
        </w:rPr>
        <w:t xml:space="preserve"> dan pengembangan</w:t>
      </w:r>
      <w:r>
        <w:rPr>
          <w:rFonts w:ascii="Bookman Old Style" w:hAnsi="Bookman Old Style" w:eastAsia="Times New Roman" w:cs="Tahoma"/>
          <w:color w:val="000000" w:themeColor="text1"/>
          <w:sz w:val="24"/>
          <w:szCs w:val="24"/>
          <w:lang w:val="id-ID"/>
          <w14:textFill>
            <w14:solidFill>
              <w14:schemeClr w14:val="tx1"/>
            </w14:solidFill>
          </w14:textFill>
        </w:rPr>
        <w:t xml:space="preserve"> fungsi </w:t>
      </w:r>
      <w:r>
        <w:rPr>
          <w:rFonts w:ascii="Bookman Old Style" w:hAnsi="Bookman Old Style" w:eastAsia="Times New Roman" w:cs="Tahoma"/>
          <w:color w:val="000000" w:themeColor="text1"/>
          <w:sz w:val="24"/>
          <w:szCs w:val="24"/>
          <w14:textFill>
            <w14:solidFill>
              <w14:schemeClr w14:val="tx1"/>
            </w14:solidFill>
          </w14:textFill>
        </w:rPr>
        <w:t>aspek pertahanan dan keamanan pulau-pulau kecil di daerah.</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w:t>
      </w:r>
      <w:r>
        <w:rPr>
          <w:rFonts w:ascii="Bookman Old Style" w:hAnsi="Bookman Old Style" w:eastAsia="Times New Roman" w:cs="Tahoma"/>
          <w:color w:val="000000" w:themeColor="text1"/>
          <w:sz w:val="24"/>
          <w:szCs w:val="24"/>
          <w:lang w:val="id-ID"/>
          <w14:textFill>
            <w14:solidFill>
              <w14:schemeClr w14:val="tx1"/>
            </w14:solidFill>
          </w14:textFill>
        </w:rPr>
        <w:t>ingkatan</w:t>
      </w:r>
      <w:r>
        <w:rPr>
          <w:rFonts w:ascii="Bookman Old Style" w:hAnsi="Bookman Old Style" w:eastAsia="Times New Roman" w:cs="Tahoma"/>
          <w:color w:val="000000" w:themeColor="text1"/>
          <w:sz w:val="24"/>
          <w:szCs w:val="24"/>
          <w14:textFill>
            <w14:solidFill>
              <w14:schemeClr w14:val="tx1"/>
            </w14:solidFill>
          </w14:textFill>
        </w:rPr>
        <w:t xml:space="preserve"> dan pengembangan</w:t>
      </w:r>
      <w:r>
        <w:rPr>
          <w:rFonts w:ascii="Bookman Old Style" w:hAnsi="Bookman Old Style" w:eastAsia="Times New Roman" w:cs="Tahoma"/>
          <w:color w:val="000000" w:themeColor="text1"/>
          <w:sz w:val="24"/>
          <w:szCs w:val="24"/>
          <w:lang w:val="id-ID"/>
          <w14:textFill>
            <w14:solidFill>
              <w14:schemeClr w14:val="tx1"/>
            </w14:solidFill>
          </w14:textFill>
        </w:rPr>
        <w:t xml:space="preserve"> fungsi </w:t>
      </w:r>
      <w:r>
        <w:rPr>
          <w:rFonts w:ascii="Bookman Old Style" w:hAnsi="Bookman Old Style" w:eastAsia="Times New Roman" w:cs="Tahoma"/>
          <w:color w:val="000000" w:themeColor="text1"/>
          <w:sz w:val="24"/>
          <w:szCs w:val="24"/>
          <w14:textFill>
            <w14:solidFill>
              <w14:schemeClr w14:val="tx1"/>
            </w14:solidFill>
          </w14:textFill>
        </w:rPr>
        <w:t>aspek pertahanan dan keamanan pulau-pulau kecil di daerah sebagaimana dimaksud  di atas, meliputi :</w:t>
      </w:r>
    </w:p>
    <w:p>
      <w:pPr>
        <w:numPr>
          <w:ilvl w:val="0"/>
          <w:numId w:val="47"/>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kawasan lindung dan/atau kawasan budidaya tidak terbangun di sekitar kawasan pertahanan dan keamanan sebagai zona penyangga yang memisahkan kawasan tersebut dengan kawasan budidaya terbangun di sekitarnya; </w:t>
      </w:r>
    </w:p>
    <w:p>
      <w:pPr>
        <w:numPr>
          <w:ilvl w:val="0"/>
          <w:numId w:val="47"/>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kegiatan budidaya secara selektif di dalam dan   di sekitar kawasan peruntukan pertahanan dan keamanan Negara sesuai fungsi dan peruntukannya; dan </w:t>
      </w:r>
    </w:p>
    <w:p>
      <w:pPr>
        <w:numPr>
          <w:ilvl w:val="0"/>
          <w:numId w:val="47"/>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turut serta menjaga dan memelihara aset-aset pertahanan dan keamanan Negara di wilayah Kabupaten.</w:t>
      </w:r>
    </w:p>
    <w:p>
      <w:pPr>
        <w:snapToGrid w:val="0"/>
        <w:spacing w:after="0" w:line="360" w:lineRule="auto"/>
        <w:ind w:left="720" w:firstLine="72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Adapun program utama yang dirumuskan dalam RTRW Kabupaten Kepulauan Selayar yang terkait dengan Pertumbuhan ekonomi pada sektor perdagangan, koperasi dan usaha kecil dan menengah, yakni program peningkatan sarana distribusi perdagangan dan program perencanaan pembangunan industri dari sudut pandang </w:t>
      </w:r>
      <w:r>
        <w:rPr>
          <w:rFonts w:ascii="Bookman Old Style" w:hAnsi="Bookman Old Style" w:eastAsia="Times New Roman" w:cs="Times New Roman"/>
          <w:color w:val="000000" w:themeColor="text1"/>
          <w:spacing w:val="4"/>
          <w:sz w:val="24"/>
          <w:szCs w:val="20"/>
          <w14:textFill>
            <w14:solidFill>
              <w14:schemeClr w14:val="tx1"/>
            </w14:solidFill>
          </w14:textFill>
        </w:rPr>
        <w:t>daya dukung kawasan dan kriteria pengembangan</w:t>
      </w:r>
      <w:r>
        <w:rPr>
          <w:rFonts w:ascii="Bookman Old Style" w:hAnsi="Bookman Old Style" w:eastAsia="Times New Roman" w:cs="Times New Roman"/>
          <w:color w:val="000000" w:themeColor="text1"/>
          <w:sz w:val="24"/>
          <w:szCs w:val="20"/>
          <w14:textFill>
            <w14:solidFill>
              <w14:schemeClr w14:val="tx1"/>
            </w14:solidFill>
          </w14:textFill>
        </w:rPr>
        <w:t xml:space="preserve"> </w:t>
      </w:r>
      <w:r>
        <w:rPr>
          <w:rFonts w:ascii="Bookman Old Style" w:hAnsi="Bookman Old Style" w:eastAsia="Times New Roman" w:cs="Times New Roman"/>
          <w:color w:val="000000" w:themeColor="text1"/>
          <w:spacing w:val="4"/>
          <w:sz w:val="24"/>
          <w:szCs w:val="20"/>
          <w14:textFill>
            <w14:solidFill>
              <w14:schemeClr w14:val="tx1"/>
            </w14:solidFill>
          </w14:textFill>
        </w:rPr>
        <w:t>kawasan-kawasan fungsional dalam kerangka pengembangan wilayah meliputi</w:t>
      </w:r>
      <w:r>
        <w:rPr>
          <w:rFonts w:ascii="Bookman Old Style" w:hAnsi="Bookman Old Style" w:eastAsia="Times New Roman" w:cs="Times New Roman"/>
          <w:color w:val="000000" w:themeColor="text1"/>
          <w:sz w:val="24"/>
          <w:szCs w:val="20"/>
          <w14:textFill>
            <w14:solidFill>
              <w14:schemeClr w14:val="tx1"/>
            </w14:solidFill>
          </w14:textFill>
        </w:rPr>
        <w:t xml:space="preserve"> :</w:t>
      </w:r>
    </w:p>
    <w:p>
      <w:pPr>
        <w:numPr>
          <w:ilvl w:val="3"/>
          <w:numId w:val="28"/>
        </w:numPr>
        <w:tabs>
          <w:tab w:val="left" w:pos="1134"/>
        </w:tabs>
        <w:snapToGrid w:val="0"/>
        <w:spacing w:after="0" w:line="360" w:lineRule="auto"/>
        <w:ind w:left="1134" w:hanging="425"/>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 xml:space="preserve">Rehabilitasi dan Pengembangan Kawasan Strategis Kabupaten dari  </w:t>
      </w:r>
    </w:p>
    <w:p>
      <w:pPr>
        <w:tabs>
          <w:tab w:val="left" w:pos="1134"/>
        </w:tabs>
        <w:snapToGrid w:val="0"/>
        <w:spacing w:after="0" w:line="360" w:lineRule="auto"/>
        <w:ind w:left="1134" w:hanging="273"/>
        <w:jc w:val="both"/>
        <w:rPr>
          <w:rFonts w:ascii="Bookman Old Style" w:hAnsi="Bookman Old Style" w:eastAsia="Times New Roman" w:cs="Times New Roman"/>
          <w:spacing w:val="4"/>
          <w:sz w:val="24"/>
          <w:szCs w:val="24"/>
          <w:lang w:val="id-ID" w:eastAsia="id-ID"/>
        </w:rPr>
      </w:pPr>
      <w:r>
        <w:rPr>
          <w:rFonts w:ascii="Bookman Old Style" w:hAnsi="Bookman Old Style" w:eastAsia="Times New Roman" w:cs="Times New Roman"/>
          <w:sz w:val="24"/>
          <w:szCs w:val="24"/>
          <w:lang w:val="id-ID" w:eastAsia="id-ID"/>
        </w:rPr>
        <w:t xml:space="preserve">   </w:t>
      </w:r>
      <w:r>
        <w:rPr>
          <w:rFonts w:ascii="Bookman Old Style" w:hAnsi="Bookman Old Style" w:eastAsia="Times New Roman" w:cs="Times New Roman"/>
          <w:sz w:val="24"/>
          <w:szCs w:val="24"/>
          <w:lang w:val="id-ID" w:eastAsia="id-ID"/>
        </w:rPr>
        <w:tab/>
      </w:r>
      <w:r>
        <w:rPr>
          <w:rFonts w:ascii="Bookman Old Style" w:hAnsi="Bookman Old Style" w:eastAsia="Times New Roman" w:cs="Times New Roman"/>
          <w:sz w:val="24"/>
          <w:szCs w:val="24"/>
          <w:lang w:val="id-ID" w:eastAsia="id-ID"/>
        </w:rPr>
        <w:t xml:space="preserve">sudut pandang pandang </w:t>
      </w:r>
      <w:r>
        <w:rPr>
          <w:rFonts w:ascii="Bookman Old Style" w:hAnsi="Bookman Old Style" w:eastAsia="Times New Roman" w:cs="Times New Roman"/>
          <w:spacing w:val="4"/>
          <w:sz w:val="24"/>
          <w:szCs w:val="24"/>
          <w:lang w:val="id-ID" w:eastAsia="id-ID"/>
        </w:rPr>
        <w:t>daya dukung kawasan dan kriteria pengembangan</w:t>
      </w:r>
      <w:r>
        <w:rPr>
          <w:rFonts w:ascii="Bookman Old Style" w:hAnsi="Bookman Old Style" w:eastAsia="Times New Roman" w:cs="Times New Roman"/>
          <w:sz w:val="24"/>
          <w:szCs w:val="24"/>
          <w:lang w:val="id-ID" w:eastAsia="id-ID"/>
        </w:rPr>
        <w:t xml:space="preserve"> </w:t>
      </w:r>
      <w:r>
        <w:rPr>
          <w:rFonts w:ascii="Bookman Old Style" w:hAnsi="Bookman Old Style" w:eastAsia="Times New Roman" w:cs="Times New Roman"/>
          <w:spacing w:val="4"/>
          <w:sz w:val="24"/>
          <w:szCs w:val="24"/>
          <w:lang w:val="id-ID" w:eastAsia="id-ID"/>
        </w:rPr>
        <w:t>kawasan-kawasan fungsional</w:t>
      </w:r>
    </w:p>
    <w:p>
      <w:pPr>
        <w:tabs>
          <w:tab w:val="left" w:pos="1134"/>
        </w:tabs>
        <w:snapToGrid w:val="0"/>
        <w:spacing w:after="0" w:line="360" w:lineRule="auto"/>
        <w:ind w:left="709"/>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 xml:space="preserve">2. </w:t>
      </w:r>
      <w:r>
        <w:rPr>
          <w:rFonts w:ascii="Bookman Old Style" w:hAnsi="Bookman Old Style" w:eastAsia="Times New Roman" w:cs="Times New Roman"/>
          <w:sz w:val="24"/>
          <w:szCs w:val="24"/>
          <w:lang w:val="id-ID" w:eastAsia="id-ID"/>
        </w:rPr>
        <w:tab/>
      </w:r>
      <w:r>
        <w:rPr>
          <w:rFonts w:ascii="Bookman Old Style" w:hAnsi="Bookman Old Style" w:eastAsia="Times New Roman" w:cs="Times New Roman"/>
          <w:sz w:val="24"/>
          <w:szCs w:val="24"/>
          <w:lang w:val="id-ID" w:eastAsia="id-ID"/>
        </w:rPr>
        <w:t>Rehabilitasi/Revitalisasi kawasan</w:t>
      </w:r>
    </w:p>
    <w:p>
      <w:pPr>
        <w:tabs>
          <w:tab w:val="left" w:pos="1134"/>
        </w:tabs>
        <w:snapToGrid w:val="0"/>
        <w:spacing w:after="0" w:line="360" w:lineRule="auto"/>
        <w:ind w:left="709"/>
        <w:rPr>
          <w:rFonts w:ascii="Bookman Old Style" w:hAnsi="Bookman Old Style" w:eastAsia="Times New Roman" w:cs="Times New Roman"/>
          <w:sz w:val="24"/>
          <w:szCs w:val="24"/>
          <w:lang w:eastAsia="id-ID"/>
        </w:rPr>
      </w:pPr>
      <w:r>
        <w:rPr>
          <w:rFonts w:ascii="Bookman Old Style" w:hAnsi="Bookman Old Style" w:eastAsia="Times New Roman" w:cs="Times New Roman"/>
          <w:sz w:val="24"/>
          <w:szCs w:val="24"/>
          <w:lang w:eastAsia="id-ID"/>
        </w:rPr>
        <w:t>3.</w:t>
      </w:r>
      <w:r>
        <w:rPr>
          <w:rFonts w:ascii="Bookman Old Style" w:hAnsi="Bookman Old Style" w:eastAsia="Times New Roman" w:cs="Times New Roman"/>
          <w:sz w:val="24"/>
          <w:szCs w:val="24"/>
          <w:lang w:eastAsia="id-ID"/>
        </w:rPr>
        <w:tab/>
      </w:r>
      <w:r>
        <w:rPr>
          <w:rFonts w:ascii="Bookman Old Style" w:hAnsi="Bookman Old Style" w:eastAsia="Times New Roman" w:cs="Times New Roman"/>
          <w:sz w:val="24"/>
          <w:szCs w:val="24"/>
          <w:lang w:val="id-ID" w:eastAsia="id-ID"/>
        </w:rPr>
        <w:t>Pengembangan/ peningkatan kualitas kawasan</w:t>
      </w:r>
    </w:p>
    <w:p>
      <w:pPr>
        <w:spacing w:after="0" w:line="360" w:lineRule="auto"/>
        <w:ind w:left="720" w:firstLine="720"/>
        <w:contextualSpacing/>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 xml:space="preserve">Berdasarkan program utama tersebut, Dinas </w:t>
      </w:r>
      <w:r>
        <w:rPr>
          <w:rFonts w:ascii="Bookman Old Style" w:hAnsi="Bookman Old Style" w:eastAsia="Times New Roman" w:cs="Times New Roman"/>
          <w:sz w:val="24"/>
          <w:szCs w:val="20"/>
        </w:rPr>
        <w:t>Perdagangan, Koperasi dan Usaha Kecil dan Menengah</w:t>
      </w:r>
      <w:r>
        <w:rPr>
          <w:rFonts w:ascii="Bookman Old Style" w:hAnsi="Bookman Old Style" w:eastAsia="Times New Roman" w:cs="Times New Roman"/>
          <w:sz w:val="24"/>
          <w:szCs w:val="24"/>
        </w:rPr>
        <w:t xml:space="preserve"> Kabupaten Kepulauan Selayar memenyajikan faktor-faktor permasalahan pelayanan pencapaian sasaran program RTRW adalah sebagai berikut :</w:t>
      </w:r>
    </w:p>
    <w:p>
      <w:pPr>
        <w:tabs>
          <w:tab w:val="left" w:pos="993"/>
        </w:tabs>
        <w:snapToGrid w:val="0"/>
        <w:spacing w:after="0" w:line="360" w:lineRule="auto"/>
        <w:ind w:left="1134" w:hanging="470"/>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0"/>
          <w:szCs w:val="20"/>
          <w:lang w:eastAsia="id-ID"/>
        </w:rPr>
        <w:t>1</w:t>
      </w:r>
      <w:r>
        <w:rPr>
          <w:rFonts w:ascii="Bookman Old Style" w:hAnsi="Bookman Old Style" w:eastAsia="Times New Roman" w:cs="Times New Roman"/>
          <w:sz w:val="24"/>
          <w:szCs w:val="24"/>
          <w:lang w:eastAsia="id-ID"/>
        </w:rPr>
        <w:t xml:space="preserve">. </w:t>
      </w:r>
      <w:r>
        <w:rPr>
          <w:rFonts w:ascii="Bookman Old Style" w:hAnsi="Bookman Old Style" w:eastAsia="Times New Roman" w:cs="Times New Roman"/>
          <w:sz w:val="24"/>
          <w:szCs w:val="24"/>
          <w:lang w:eastAsia="id-ID"/>
        </w:rPr>
        <w:tab/>
      </w:r>
      <w:r>
        <w:rPr>
          <w:rFonts w:ascii="Bookman Old Style" w:hAnsi="Bookman Old Style" w:eastAsia="Times New Roman" w:cs="Times New Roman"/>
          <w:sz w:val="24"/>
          <w:szCs w:val="24"/>
          <w:lang w:val="id-ID" w:eastAsia="id-ID"/>
        </w:rPr>
        <w:t>Menurunnya daya dukung, fungsi dan kualitas kawasan</w:t>
      </w:r>
    </w:p>
    <w:p>
      <w:pPr>
        <w:snapToGrid w:val="0"/>
        <w:spacing w:after="0" w:line="360" w:lineRule="auto"/>
        <w:ind w:left="993" w:hanging="329"/>
        <w:rPr>
          <w:rFonts w:ascii="Bookman Old Style" w:hAnsi="Bookman Old Style" w:eastAsia="Times New Roman" w:cs="Times New Roman"/>
          <w:sz w:val="24"/>
          <w:szCs w:val="24"/>
          <w:lang w:eastAsia="id-ID"/>
        </w:rPr>
      </w:pPr>
      <w:r>
        <w:rPr>
          <w:rFonts w:ascii="Bookman Old Style" w:hAnsi="Bookman Old Style" w:eastAsia="Times New Roman" w:cs="Times New Roman"/>
          <w:sz w:val="24"/>
          <w:szCs w:val="24"/>
          <w:lang w:val="id-ID" w:eastAsia="id-ID"/>
        </w:rPr>
        <w:t xml:space="preserve">2. </w:t>
      </w:r>
      <w:r>
        <w:rPr>
          <w:rFonts w:ascii="Bookman Old Style" w:hAnsi="Bookman Old Style" w:eastAsia="Times New Roman" w:cs="Times New Roman"/>
          <w:sz w:val="24"/>
          <w:szCs w:val="24"/>
          <w:lang w:val="id-ID" w:eastAsia="id-ID"/>
        </w:rPr>
        <w:tab/>
      </w:r>
      <w:r>
        <w:rPr>
          <w:rFonts w:ascii="Bookman Old Style" w:hAnsi="Bookman Old Style" w:eastAsia="Times New Roman" w:cs="Times New Roman"/>
          <w:sz w:val="24"/>
          <w:szCs w:val="24"/>
          <w:lang w:val="id-ID" w:eastAsia="id-ID"/>
        </w:rPr>
        <w:t>Pembebasan lahan belum ada</w:t>
      </w:r>
      <w:r>
        <w:rPr>
          <w:rFonts w:ascii="Bookman Old Style" w:hAnsi="Bookman Old Style" w:eastAsia="Times New Roman" w:cs="Times New Roman"/>
          <w:sz w:val="24"/>
          <w:szCs w:val="24"/>
          <w:lang w:eastAsia="id-ID"/>
        </w:rPr>
        <w:t xml:space="preserve"> P</w:t>
      </w:r>
      <w:r>
        <w:rPr>
          <w:rFonts w:ascii="Bookman Old Style" w:hAnsi="Bookman Old Style" w:eastAsia="Times New Roman" w:cs="Times New Roman"/>
          <w:sz w:val="24"/>
          <w:szCs w:val="24"/>
          <w:lang w:val="id-ID" w:eastAsia="id-ID"/>
        </w:rPr>
        <w:t xml:space="preserve">erencanaan terkait revitalisasi kawasan dan peningkatan kualitas kawasan belum ada  </w:t>
      </w:r>
    </w:p>
    <w:p>
      <w:pPr>
        <w:spacing w:after="0" w:line="360" w:lineRule="auto"/>
        <w:ind w:left="720" w:firstLine="720"/>
        <w:contextualSpacing/>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Dan untuk faktor-faktor penghambat pelayanan yang dapat mempengaruhi, yaitu :</w:t>
      </w:r>
    </w:p>
    <w:p>
      <w:pPr>
        <w:numPr>
          <w:ilvl w:val="4"/>
          <w:numId w:val="48"/>
        </w:numPr>
        <w:snapToGrid w:val="0"/>
        <w:spacing w:after="0" w:line="360" w:lineRule="auto"/>
        <w:ind w:left="1134" w:hanging="425"/>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 xml:space="preserve">Belum dilakukannya KLHS terkait pengembangan kawasan strategis </w:t>
      </w:r>
      <w:r>
        <w:rPr>
          <w:rFonts w:ascii="Bookman Old Style" w:hAnsi="Bookman Old Style" w:eastAsia="Times New Roman" w:cs="Times New Roman"/>
          <w:sz w:val="24"/>
          <w:szCs w:val="24"/>
          <w:lang w:eastAsia="id-ID"/>
        </w:rPr>
        <w:t>kabupaten</w:t>
      </w:r>
      <w:r>
        <w:rPr>
          <w:rFonts w:ascii="Bookman Old Style" w:hAnsi="Bookman Old Style" w:eastAsia="Times New Roman" w:cs="Times New Roman"/>
          <w:sz w:val="24"/>
          <w:szCs w:val="24"/>
          <w:lang w:val="id-ID" w:eastAsia="id-ID"/>
        </w:rPr>
        <w:t>.</w:t>
      </w:r>
    </w:p>
    <w:p>
      <w:pPr>
        <w:numPr>
          <w:ilvl w:val="4"/>
          <w:numId w:val="48"/>
        </w:numPr>
        <w:snapToGrid w:val="0"/>
        <w:spacing w:after="0" w:line="360" w:lineRule="auto"/>
        <w:ind w:left="1134" w:hanging="425"/>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Lemahnya pengawasan dan penegakan hukum terkait kesesuaian zonasi kawasan.</w:t>
      </w:r>
    </w:p>
    <w:p>
      <w:pPr>
        <w:snapToGrid w:val="0"/>
        <w:spacing w:after="0" w:line="360" w:lineRule="auto"/>
        <w:ind w:left="709" w:firstLine="709"/>
        <w:contextualSpacing/>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4"/>
        </w:rPr>
        <w:t>Sedangkan untuk faktor-faktor pendorong pelayanan yang dapat mempengaruhi, yaitu :</w:t>
      </w:r>
    </w:p>
    <w:p>
      <w:pPr>
        <w:numPr>
          <w:ilvl w:val="0"/>
          <w:numId w:val="49"/>
        </w:numPr>
        <w:snapToGrid w:val="0"/>
        <w:spacing w:after="0" w:line="360" w:lineRule="auto"/>
        <w:ind w:left="1080" w:hanging="360"/>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 xml:space="preserve">Undang-Undang No.32 Tahun 2009 tentang Perlindungan dan Pengelolaan Lingkungan Hidup </w:t>
      </w:r>
    </w:p>
    <w:p>
      <w:pPr>
        <w:numPr>
          <w:ilvl w:val="0"/>
          <w:numId w:val="49"/>
        </w:numPr>
        <w:snapToGrid w:val="0"/>
        <w:spacing w:after="0" w:line="360" w:lineRule="auto"/>
        <w:ind w:left="1080" w:hanging="360"/>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PP Nomor 46 Tahun 2016 Tentang Tata Cara Penyelenggaraan KLHS pada pasal 2 ayat 1</w:t>
      </w:r>
    </w:p>
    <w:p>
      <w:pPr>
        <w:numPr>
          <w:ilvl w:val="0"/>
          <w:numId w:val="49"/>
        </w:numPr>
        <w:snapToGrid w:val="0"/>
        <w:spacing w:after="0" w:line="360" w:lineRule="auto"/>
        <w:ind w:left="1080" w:hanging="360"/>
        <w:contextualSpacing/>
        <w:jc w:val="both"/>
        <w:rPr>
          <w:rFonts w:ascii="Bookman Old Style" w:hAnsi="Bookman Old Style" w:eastAsia="Times New Roman" w:cs="Times New Roman"/>
          <w:sz w:val="24"/>
          <w:szCs w:val="24"/>
          <w:lang w:val="id-ID" w:eastAsia="id-ID"/>
        </w:rPr>
      </w:pPr>
      <w:r>
        <w:rPr>
          <w:rFonts w:ascii="Bookman Old Style" w:hAnsi="Bookman Old Style" w:eastAsia="Times New Roman" w:cs="Times New Roman"/>
          <w:sz w:val="24"/>
          <w:szCs w:val="24"/>
          <w:lang w:val="id-ID" w:eastAsia="id-ID"/>
        </w:rPr>
        <w:t>PerGub. Sulsel No.17 Tahun 2013 Tentang Izin Pemanfaatan Ruang Pada Kawasan Pusat Bisnis Terpadu Indonesia</w:t>
      </w:r>
    </w:p>
    <w:p>
      <w:pPr>
        <w:snapToGrid w:val="0"/>
        <w:spacing w:after="0" w:line="360" w:lineRule="auto"/>
        <w:ind w:left="1134"/>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sz w:val="24"/>
          <w:szCs w:val="24"/>
          <w:lang w:val="id-ID" w:eastAsia="id-ID"/>
        </w:rPr>
        <w:t>Perda No 5 Tahun 2012 tentang RTRW</w:t>
      </w:r>
    </w:p>
    <w:p>
      <w:pPr>
        <w:tabs>
          <w:tab w:val="left" w:pos="426"/>
          <w:tab w:val="left" w:pos="851"/>
        </w:tabs>
        <w:autoSpaceDE w:val="0"/>
        <w:autoSpaceDN w:val="0"/>
        <w:adjustRightInd w:val="0"/>
        <w:spacing w:before="240" w:after="0" w:line="360" w:lineRule="auto"/>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2.4.3.</w:t>
      </w:r>
      <w:r>
        <w:rPr>
          <w:rFonts w:ascii="Bookman Old Style" w:hAnsi="Bookman Old Style" w:eastAsia="Times New Roman" w:cs="Tahoma"/>
          <w:b/>
          <w:bCs/>
          <w:color w:val="000000" w:themeColor="text1"/>
          <w:sz w:val="24"/>
          <w:szCs w:val="24"/>
          <w14:textFill>
            <w14:solidFill>
              <w14:schemeClr w14:val="tx1"/>
            </w14:solidFill>
          </w14:textFill>
        </w:rPr>
        <w:tab/>
      </w:r>
      <w:r>
        <w:rPr>
          <w:rFonts w:ascii="Bookman Old Style" w:hAnsi="Bookman Old Style" w:eastAsia="Times New Roman" w:cs="Tahoma"/>
          <w:b/>
          <w:bCs/>
          <w:color w:val="000000" w:themeColor="text1"/>
          <w:sz w:val="24"/>
          <w:szCs w:val="24"/>
          <w14:textFill>
            <w14:solidFill>
              <w14:schemeClr w14:val="tx1"/>
            </w14:solidFill>
          </w14:textFill>
        </w:rPr>
        <w:t>Analisis Renstra K/L dan Propinsi</w:t>
      </w:r>
    </w:p>
    <w:p>
      <w:pPr>
        <w:tabs>
          <w:tab w:val="left" w:pos="426"/>
          <w:tab w:val="left" w:pos="851"/>
          <w:tab w:val="left" w:pos="1701"/>
        </w:tabs>
        <w:autoSpaceDE w:val="0"/>
        <w:autoSpaceDN w:val="0"/>
        <w:adjustRightInd w:val="0"/>
        <w:spacing w:before="240"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sz w:val="24"/>
          <w:szCs w:val="24"/>
        </w:rPr>
        <w:tab/>
      </w:r>
      <w:r>
        <w:rPr>
          <w:rFonts w:ascii="Bookman Old Style" w:hAnsi="Bookman Old Style" w:eastAsia="Times New Roman" w:cs="Tahoma"/>
          <w:sz w:val="24"/>
          <w:szCs w:val="24"/>
        </w:rPr>
        <w:tab/>
      </w:r>
      <w:r>
        <w:rPr>
          <w:rFonts w:ascii="Bookman Old Style" w:hAnsi="Bookman Old Style" w:eastAsia="Times New Roman" w:cs="Tahoma"/>
          <w:color w:val="000000" w:themeColor="text1"/>
          <w:sz w:val="24"/>
          <w:szCs w:val="24"/>
          <w14:textFill>
            <w14:solidFill>
              <w14:schemeClr w14:val="tx1"/>
            </w14:solidFill>
          </w14:textFill>
        </w:rPr>
        <w:t xml:space="preserve">Dinas Perdagangan, Koperasi dan Usaha Kecil dan Menengah Kabupaten Kepulauan Selayar merupakan kepanjangan tangan dari 2 (Dua) Kementrian yaitu Kementerian Perdagangan dan Kementerian Koperasi dan UKM serta 2 (Dua) Dinas Propinsi yaitu Dinas Koperasi dan UMKM, dan Dinas Perdagangan Propinsi. </w:t>
      </w:r>
    </w:p>
    <w:p>
      <w:pPr>
        <w:tabs>
          <w:tab w:val="left" w:pos="426"/>
        </w:tabs>
        <w:autoSpaceDE w:val="0"/>
        <w:autoSpaceDN w:val="0"/>
        <w:adjustRightInd w:val="0"/>
        <w:spacing w:before="240" w:after="0" w:line="360" w:lineRule="auto"/>
        <w:ind w:left="709"/>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2.4.3.1. Analisis Renstra K/L dan Dinas Koperasi dan UKM Propinsi </w:t>
      </w:r>
    </w:p>
    <w:p>
      <w:pPr>
        <w:tabs>
          <w:tab w:val="left" w:pos="426"/>
        </w:tabs>
        <w:autoSpaceDE w:val="0"/>
        <w:autoSpaceDN w:val="0"/>
        <w:adjustRightInd w:val="0"/>
        <w:spacing w:before="240" w:after="0" w:line="360" w:lineRule="auto"/>
        <w:ind w:left="1701"/>
        <w:jc w:val="both"/>
        <w:rPr>
          <w:rFonts w:ascii="Bookman Old Style" w:hAnsi="Bookman Old Style" w:eastAsia="Times New Roman" w:cs="Tahoma"/>
          <w:sz w:val="24"/>
          <w:szCs w:val="24"/>
        </w:rPr>
      </w:pPr>
      <w:r>
        <w:rPr>
          <w:rFonts w:ascii="Bookman Old Style" w:hAnsi="Bookman Old Style" w:eastAsia="Times New Roman" w:cs="Tahoma"/>
          <w:sz w:val="24"/>
          <w:szCs w:val="24"/>
        </w:rPr>
        <w:t>Untuk Kementerian Koperasi dan UMKM periode 5 (lima) tahun mendatang, sesuai dengan arah kebijakan Renstra 2020-2024                        di Kemetrian Koperasi dan UKM bertujuan :</w:t>
      </w:r>
    </w:p>
    <w:p>
      <w:pPr>
        <w:numPr>
          <w:ilvl w:val="2"/>
          <w:numId w:val="50"/>
        </w:numPr>
        <w:tabs>
          <w:tab w:val="left" w:pos="1701"/>
        </w:tabs>
        <w:autoSpaceDE w:val="0"/>
        <w:autoSpaceDN w:val="0"/>
        <w:adjustRightInd w:val="0"/>
        <w:spacing w:after="0" w:line="360" w:lineRule="auto"/>
        <w:ind w:left="1985" w:hanging="360"/>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Terwujudnya Koperasi Generasi Baru yang Maju dan Modern</w:t>
      </w:r>
    </w:p>
    <w:p>
      <w:pPr>
        <w:numPr>
          <w:ilvl w:val="2"/>
          <w:numId w:val="50"/>
        </w:numPr>
        <w:tabs>
          <w:tab w:val="left" w:pos="1701"/>
        </w:tabs>
        <w:autoSpaceDE w:val="0"/>
        <w:autoSpaceDN w:val="0"/>
        <w:adjustRightInd w:val="0"/>
        <w:spacing w:after="0" w:line="360" w:lineRule="auto"/>
        <w:ind w:left="1985" w:hanging="360"/>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Terwujudnya UMKM yang Mampu Bersaing di Pasar Domestik dan Global</w:t>
      </w:r>
    </w:p>
    <w:p>
      <w:pPr>
        <w:tabs>
          <w:tab w:val="left" w:pos="1701"/>
        </w:tabs>
        <w:autoSpaceDE w:val="0"/>
        <w:autoSpaceDN w:val="0"/>
        <w:adjustRightInd w:val="0"/>
        <w:spacing w:after="0" w:line="360" w:lineRule="auto"/>
        <w:ind w:left="1701"/>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Selanjutnya, Sasaran strategis Pengembangan Koperasi dan UMKM   merupakan  kondisi  yang  ingin  dicapai sebagai suatu outcome dan impact dari program yang dilaksanakan oleh Kementerian Koperasi dan UKM</w:t>
      </w:r>
      <w:r>
        <w:rPr>
          <w:rFonts w:ascii="Bookman Old Style" w:hAnsi="Bookman Old Style" w:eastAsia="Times New Roman" w:cs="Tahoma"/>
          <w:sz w:val="24"/>
          <w:szCs w:val="24"/>
        </w:rPr>
        <w:t xml:space="preserve">, yaitu </w:t>
      </w:r>
      <w:r>
        <w:rPr>
          <w:rFonts w:ascii="Bookman Old Style" w:hAnsi="Bookman Old Style" w:eastAsia="Times New Roman" w:cs="Times New Roman"/>
          <w:sz w:val="24"/>
          <w:szCs w:val="20"/>
        </w:rPr>
        <w:t xml:space="preserve">Mewujudkan Koperasi dan UMKM yang maju, berdaulat, dan Mandiri serta Mewujudkan UMKM yang Mampu Bersaing di Pasar Domestik dan Global. </w:t>
      </w:r>
    </w:p>
    <w:p>
      <w:pPr>
        <w:tabs>
          <w:tab w:val="left" w:pos="1701"/>
        </w:tabs>
        <w:autoSpaceDE w:val="0"/>
        <w:autoSpaceDN w:val="0"/>
        <w:adjustRightInd w:val="0"/>
        <w:spacing w:after="0" w:line="360" w:lineRule="auto"/>
        <w:ind w:left="1701"/>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Berkaitan hal tersebut diatas, untuk operasionalisasi pencapaian sasaran strategis diperlukan penajaman secara perspektif, melalui penentuan indikator Kementerian Koperasi dan UKM Tahun 2020-2024, adalah sebagai berikut :</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Persentase Kontribusi PDB sektor Koperasi</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Jumlah Koperasi Model Baru dan Modern</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Pertumbuhan Start-up berbasis Koperasi</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Persentase Kontribusi PDB sektor UMKM</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Persentase Total Nilai Ekspor UMKM</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Persentase Total Investasi UMKM</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Persentase UKM Naik Kelas</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Pertumbuhan Tenaga Kerja UMKM</w:t>
      </w:r>
    </w:p>
    <w:p>
      <w:pPr>
        <w:numPr>
          <w:ilvl w:val="3"/>
          <w:numId w:val="50"/>
        </w:numPr>
        <w:tabs>
          <w:tab w:val="left" w:pos="1701"/>
        </w:tabs>
        <w:autoSpaceDE w:val="0"/>
        <w:autoSpaceDN w:val="0"/>
        <w:adjustRightInd w:val="0"/>
        <w:spacing w:before="240" w:after="0" w:line="360" w:lineRule="auto"/>
        <w:ind w:left="2268" w:hanging="567"/>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Rasio Kewirausahaan</w:t>
      </w:r>
    </w:p>
    <w:p>
      <w:pPr>
        <w:tabs>
          <w:tab w:val="left" w:pos="1701"/>
        </w:tabs>
        <w:autoSpaceDE w:val="0"/>
        <w:autoSpaceDN w:val="0"/>
        <w:adjustRightInd w:val="0"/>
        <w:spacing w:before="240" w:after="0" w:line="360" w:lineRule="auto"/>
        <w:ind w:left="1701" w:firstLine="1134"/>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4"/>
        </w:rPr>
        <w:t xml:space="preserve">Dinas Koperasi dan UKM Provinsi Sulawesi Selatan merumuskan tujuan pembangunan Tahun 2018-2023 yaitu </w:t>
      </w:r>
      <w:r>
        <w:rPr>
          <w:rFonts w:ascii="Bookman Old Style" w:hAnsi="Bookman Old Style" w:eastAsia="Times New Roman" w:cs="Times New Roman"/>
          <w:sz w:val="24"/>
          <w:szCs w:val="20"/>
        </w:rPr>
        <w:t>mendorong pencapaian kemandirian Koperasi dan UKM yang mampu meningkatkan daya angkat dan daya dorong pembangunan dan mengurangi kesenjangan sosial ekonomi wilayah.</w:t>
      </w:r>
    </w:p>
    <w:p>
      <w:pPr>
        <w:tabs>
          <w:tab w:val="left" w:pos="1701"/>
        </w:tabs>
        <w:autoSpaceDE w:val="0"/>
        <w:autoSpaceDN w:val="0"/>
        <w:adjustRightInd w:val="0"/>
        <w:spacing w:before="240" w:after="0" w:line="360" w:lineRule="auto"/>
        <w:ind w:left="1701" w:firstLine="1134"/>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4"/>
        </w:rPr>
        <w:tab/>
      </w:r>
      <w:r>
        <w:rPr>
          <w:rFonts w:ascii="Bookman Old Style" w:hAnsi="Bookman Old Style" w:eastAsia="Times New Roman" w:cs="Times New Roman"/>
          <w:sz w:val="24"/>
          <w:szCs w:val="24"/>
        </w:rPr>
        <w:t>Untuk memastikan tercapainya tujuan yang diharapkan, maka  Dinas Koperasi dan UKM Provinsi Sulawesi Selatan merumuskan sasaran strategis yang akan menjadi panduan dan mendorong peningkatan kinerja tahun 2018-2023, adalah :</w:t>
      </w:r>
    </w:p>
    <w:p>
      <w:pPr>
        <w:numPr>
          <w:ilvl w:val="2"/>
          <w:numId w:val="51"/>
        </w:numPr>
        <w:spacing w:after="0" w:line="360" w:lineRule="auto"/>
        <w:ind w:left="2127" w:hanging="425"/>
        <w:contextualSpacing/>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0"/>
        </w:rPr>
        <w:t>Peningkatan Kegiatan Usaha Koperasi dan UKM layak secara bisnis</w:t>
      </w:r>
    </w:p>
    <w:p>
      <w:pPr>
        <w:tabs>
          <w:tab w:val="left" w:pos="1134"/>
          <w:tab w:val="left" w:pos="2694"/>
        </w:tabs>
        <w:spacing w:after="0" w:line="360" w:lineRule="auto"/>
        <w:ind w:left="2127"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 xml:space="preserve">Pengelolaan Usaha Koperasi, UKM di lakukan agar tercipta produktifitas keluaran yang mampu berdaya saing secaralokal, regional  dan  internasional  sesuai  dengan entitas bisnis dan adanya </w:t>
      </w:r>
    </w:p>
    <w:p>
      <w:pPr>
        <w:tabs>
          <w:tab w:val="left" w:pos="1134"/>
          <w:tab w:val="left" w:pos="2694"/>
        </w:tabs>
        <w:spacing w:after="0" w:line="360" w:lineRule="auto"/>
        <w:ind w:left="2127"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 xml:space="preserve">kesetaraan iklim usaha bagi semua pelaku usaha secara proporsional demi berlangsungnya kegiatan ekonomi yang berkelanjutan. Indikator : </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Besaran peningkatan produktivitas dari Koperasi dan UKM.</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Besaran peningkatan skala usaha. </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Besaran peningkatan pemasaran.</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Besaran peningkatan pendapatan usaha</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Besaran kelembagaan usaha, koperasi dan UKM yang produktif, berstastus hukum legal, dan terstandar.</w:t>
      </w:r>
    </w:p>
    <w:p>
      <w:pPr>
        <w:numPr>
          <w:ilvl w:val="3"/>
          <w:numId w:val="51"/>
        </w:numPr>
        <w:spacing w:after="0" w:line="360" w:lineRule="auto"/>
        <w:ind w:left="2552"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Standardisasi Pengelolaan Manajemen usaha, Koperasi dan UKM</w:t>
      </w:r>
    </w:p>
    <w:p>
      <w:pPr>
        <w:numPr>
          <w:ilvl w:val="2"/>
          <w:numId w:val="51"/>
        </w:numPr>
        <w:spacing w:after="0" w:line="360" w:lineRule="auto"/>
        <w:ind w:left="2127" w:hanging="425"/>
        <w:contextualSpacing/>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0"/>
        </w:rPr>
        <w:t xml:space="preserve">Penyediaan Produk hasil usaha Koperasi dan Usaha Kecil dan Menengah yang bernilai tinggi, daya saing tinggi dan memenuhi syarat dan standardisasi pasar. </w:t>
      </w:r>
    </w:p>
    <w:p>
      <w:pPr>
        <w:spacing w:after="0" w:line="360" w:lineRule="auto"/>
        <w:ind w:left="1701"/>
        <w:jc w:val="both"/>
        <w:rPr>
          <w:rFonts w:ascii="Bookman Old Style" w:hAnsi="Bookman Old Style" w:eastAsia="Times New Roman" w:cs="Times New Roman"/>
          <w:sz w:val="24"/>
          <w:szCs w:val="24"/>
        </w:rPr>
      </w:pPr>
      <w:r>
        <w:rPr>
          <w:rFonts w:ascii="Bookman Old Style" w:hAnsi="Bookman Old Style" w:eastAsia="Times New Roman" w:cs="Times New Roman"/>
          <w:sz w:val="24"/>
          <w:szCs w:val="20"/>
        </w:rPr>
        <w:t xml:space="preserve">Optimalisasi pemasaran produk ke pasar yang lebih tinggi membutuhkan berbagai upaya dan terobosan agar mampu sinergis dengan persyaratan yang ditetapkan, permintaan pasar dan tentunya spesifikasi konsumen. Indikator : </w:t>
      </w:r>
    </w:p>
    <w:p>
      <w:pPr>
        <w:numPr>
          <w:ilvl w:val="4"/>
          <w:numId w:val="52"/>
        </w:numPr>
        <w:autoSpaceDE w:val="0"/>
        <w:autoSpaceDN w:val="0"/>
        <w:adjustRightInd w:val="0"/>
        <w:spacing w:after="0" w:line="360" w:lineRule="auto"/>
        <w:ind w:left="2410" w:hanging="284"/>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skala usaha, volume usaha dan aset yang dimiliki.</w:t>
      </w:r>
    </w:p>
    <w:p>
      <w:pPr>
        <w:numPr>
          <w:ilvl w:val="4"/>
          <w:numId w:val="52"/>
        </w:numPr>
        <w:tabs>
          <w:tab w:val="left" w:pos="1560"/>
        </w:tabs>
        <w:autoSpaceDE w:val="0"/>
        <w:autoSpaceDN w:val="0"/>
        <w:adjustRightInd w:val="0"/>
        <w:spacing w:after="0" w:line="360" w:lineRule="auto"/>
        <w:ind w:left="2410" w:hanging="284"/>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Terbentuknya pusat pusat pelayanan Usaha setiap produk      yang bernilai tinggi di pasaran.</w:t>
      </w:r>
    </w:p>
    <w:p>
      <w:pPr>
        <w:numPr>
          <w:ilvl w:val="2"/>
          <w:numId w:val="51"/>
        </w:numPr>
        <w:autoSpaceDE w:val="0"/>
        <w:autoSpaceDN w:val="0"/>
        <w:adjustRightInd w:val="0"/>
        <w:spacing w:after="0" w:line="360" w:lineRule="auto"/>
        <w:ind w:left="2127"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Kegiatan Usaha Koperasi dan UKM yang memiliki akses seluas-luasnya terhadap pengembangan sumber daya (manusia, modal teknologi sesuai potensi yang dimiliki).</w:t>
      </w:r>
    </w:p>
    <w:p>
      <w:pPr>
        <w:autoSpaceDE w:val="0"/>
        <w:autoSpaceDN w:val="0"/>
        <w:adjustRightInd w:val="0"/>
        <w:spacing w:after="0" w:line="360" w:lineRule="auto"/>
        <w:ind w:left="212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Indikator :</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jumlah pelaku usaha wirausaha baru untuk aktif mendirikan usaha kecil dan menengah.</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Kemampuan inovatif usaha. </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Memiliki budaya usaha yang profesional. </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pelanggan.</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kemampuan manajerial.</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Meningkatnya jumlah pengelola koperasi dan usaha kecil dan menengah yang bersertifikasi</w:t>
      </w:r>
    </w:p>
    <w:p>
      <w:pPr>
        <w:numPr>
          <w:ilvl w:val="7"/>
          <w:numId w:val="52"/>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produk hasil produksi koperasi dan usaha kecil dan menengah yang bersertifikasi dan berdaya saing sesuai standar pasar yang ditetapkan</w:t>
      </w:r>
    </w:p>
    <w:p>
      <w:pPr>
        <w:numPr>
          <w:ilvl w:val="2"/>
          <w:numId w:val="51"/>
        </w:numPr>
        <w:autoSpaceDE w:val="0"/>
        <w:autoSpaceDN w:val="0"/>
        <w:adjustRightInd w:val="0"/>
        <w:spacing w:after="0" w:line="360" w:lineRule="auto"/>
        <w:ind w:left="2127"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Kegiatan Usaha Koperasi dan UKM yang memiliki daya saing dalam perekonomian wilayah, nasional dan internasional</w:t>
      </w:r>
    </w:p>
    <w:p>
      <w:pPr>
        <w:autoSpaceDE w:val="0"/>
        <w:autoSpaceDN w:val="0"/>
        <w:adjustRightInd w:val="0"/>
        <w:spacing w:after="0" w:line="360" w:lineRule="auto"/>
        <w:ind w:left="212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Indikator :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Ketersediaan prasarana dan sarana yang memadai.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Birokrasi yang efisien.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Dukungan manajemen bisnis.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Akses pasar</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Event-event bisnis yang bersifat regional, nasional, dan internasional dalam rangka mempromosikan kelembagaan koperasi dan usaha mikro kecil dan menengah, serta produk-produk yang dihasilkan.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Jumlah dana bergulir yang disalurkan.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Jumlah pemanfaat dana bergulir (Usaha Mikro Kecil/UMK).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Meningkatnya dana Corporate Social Responsibility (CSR) dari sektor swasta.</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Meningkatnya dana hibah tidak bersyarat untuk membantu permodalan tertentu berbentuk pendanaan dan atau asset. </w:t>
      </w:r>
    </w:p>
    <w:p>
      <w:pPr>
        <w:numPr>
          <w:ilvl w:val="4"/>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Tersedianya bapak angkat dalam membantu permodalan sekaligus pemasaran produk</w:t>
      </w:r>
    </w:p>
    <w:p>
      <w:pPr>
        <w:numPr>
          <w:ilvl w:val="2"/>
          <w:numId w:val="51"/>
        </w:numPr>
        <w:autoSpaceDE w:val="0"/>
        <w:autoSpaceDN w:val="0"/>
        <w:adjustRightInd w:val="0"/>
        <w:spacing w:after="0" w:line="360" w:lineRule="auto"/>
        <w:ind w:left="2127"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Dukungan Sinkronisasi Tata Ruang dan kemampuan menjaga daya dukung dan daya tampung lingkungan</w:t>
      </w:r>
    </w:p>
    <w:p>
      <w:pPr>
        <w:autoSpaceDE w:val="0"/>
        <w:autoSpaceDN w:val="0"/>
        <w:adjustRightInd w:val="0"/>
        <w:spacing w:after="0" w:line="360" w:lineRule="auto"/>
        <w:ind w:left="212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Indikator :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Kesesuaian dengan pemanfaatan ruang.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Jaminan keamanan.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Jaminan keselamatan.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Jaminan Estetika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Penegakan hukum.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Mendirikan pusat-pusat ekonomi kreatif di setiap wilayah.</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Peningkatan partisipasi aktif di Pusat Kegiatan Primer dan Sekunder (Jumlah izin usaha yang ditertibkan di lokasi tertentu dengan nilai ekonomi yang tinggi dan Pembuatan sistem pengawasan dan pembinaan untuk penertiban izin agar lebih efisien dan efektif).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Tersedianya ruang dan luas yang cukup bagi sektor informal berupa lokasi binaan, lokasi sementara, lokasi terpadu.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Pembangunan Pasar/mall/lokasi khusus bagi pedagang kaki lima (PKL).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Tersedianya data dan Road Map pengelolaan sektor ekonomi informal di setiap wilayah.</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Tersedianya Road Map peruntukan usaha pengembangan Koperasi dan UKM di setiap wilayah provinsi Sulawesi Selatan hingga Kecamatan. </w:t>
      </w:r>
    </w:p>
    <w:p>
      <w:pPr>
        <w:numPr>
          <w:ilvl w:val="7"/>
          <w:numId w:val="53"/>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Tersedianya panduan dasar dan tata cara pendirian bisnis koperasi dan usaha kecil menengah sesuai tata ruang dan daya dukung wilayah, Peningkatan kegiatan pengawasan dan pengendalian bagi usaha-usaha yang tidak sesuai dengan tata ruang dan daya dukung wilayah</w:t>
      </w:r>
    </w:p>
    <w:p>
      <w:pPr>
        <w:numPr>
          <w:ilvl w:val="2"/>
          <w:numId w:val="51"/>
        </w:numPr>
        <w:autoSpaceDE w:val="0"/>
        <w:autoSpaceDN w:val="0"/>
        <w:adjustRightInd w:val="0"/>
        <w:spacing w:after="0" w:line="360" w:lineRule="auto"/>
        <w:ind w:left="2127"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kegiatan pengawasan dan pengendalian bagi usaha-usaha yang tidak sesuai dengan tata ruang dan daya dukung wilayah</w:t>
      </w:r>
    </w:p>
    <w:p>
      <w:pPr>
        <w:autoSpaceDE w:val="0"/>
        <w:autoSpaceDN w:val="0"/>
        <w:adjustRightInd w:val="0"/>
        <w:spacing w:after="0" w:line="360" w:lineRule="auto"/>
        <w:ind w:left="212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Indikator :</w:t>
      </w:r>
    </w:p>
    <w:p>
      <w:pPr>
        <w:numPr>
          <w:ilvl w:val="1"/>
          <w:numId w:val="54"/>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Tersedianya tempat konsultasi, inkubasi, dan transaksi bisnis  di wilayah sesuai dengan tipologi usaha di wilayah tersebut.</w:t>
      </w:r>
    </w:p>
    <w:p>
      <w:pPr>
        <w:numPr>
          <w:ilvl w:val="1"/>
          <w:numId w:val="54"/>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Kegiatan pendidikan dan pelatihan bagi para stakeholder wirausaha sesuai minat, kompetensi dan kebutuhan pasar.</w:t>
      </w:r>
    </w:p>
    <w:p>
      <w:pPr>
        <w:numPr>
          <w:ilvl w:val="1"/>
          <w:numId w:val="54"/>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Pendampingan dan pemberdayaan usaha bagi para wirausaha khususnya peningkatan standardisasi kelembagaan dan produk yang berdaya saing dan berteknologi.</w:t>
      </w:r>
    </w:p>
    <w:p>
      <w:pPr>
        <w:numPr>
          <w:ilvl w:val="1"/>
          <w:numId w:val="54"/>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Pelaksanaan kerjasama bisnis untuk mempromosikan produk hasil kegiatan koperasi dan usaha kecil dan menengah yang bersifat regional dan internasional.</w:t>
      </w:r>
    </w:p>
    <w:p>
      <w:pPr>
        <w:numPr>
          <w:ilvl w:val="1"/>
          <w:numId w:val="54"/>
        </w:numPr>
        <w:autoSpaceDE w:val="0"/>
        <w:autoSpaceDN w:val="0"/>
        <w:adjustRightInd w:val="0"/>
        <w:spacing w:after="0" w:line="360" w:lineRule="auto"/>
        <w:ind w:left="2552"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Pembuatan pilot project wirausaha di setiap wilayah untuk dijadikan panduan bagi usaha-usaha lain sejenis di wilayah Sulawesi Selatan</w:t>
      </w:r>
    </w:p>
    <w:p>
      <w:pPr>
        <w:numPr>
          <w:ilvl w:val="2"/>
          <w:numId w:val="51"/>
        </w:numPr>
        <w:autoSpaceDE w:val="0"/>
        <w:autoSpaceDN w:val="0"/>
        <w:adjustRightInd w:val="0"/>
        <w:spacing w:after="0" w:line="360" w:lineRule="auto"/>
        <w:ind w:left="2127"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kemudahan, kepastian dan perlindungan untuk usaha, konsumen dan produk</w:t>
      </w:r>
    </w:p>
    <w:p>
      <w:pPr>
        <w:autoSpaceDE w:val="0"/>
        <w:autoSpaceDN w:val="0"/>
        <w:adjustRightInd w:val="0"/>
        <w:spacing w:after="0" w:line="360" w:lineRule="auto"/>
        <w:ind w:left="212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Indikator : </w:t>
      </w:r>
    </w:p>
    <w:p>
      <w:pPr>
        <w:numPr>
          <w:ilvl w:val="3"/>
          <w:numId w:val="51"/>
        </w:numPr>
        <w:autoSpaceDE w:val="0"/>
        <w:autoSpaceDN w:val="0"/>
        <w:adjustRightInd w:val="0"/>
        <w:spacing w:after="0" w:line="360" w:lineRule="auto"/>
        <w:ind w:left="2552"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Tersedianya layanan investasi satu atap online dan terintegrasi untuk semua perijinan investasi bagi Koperasi dan UKM. </w:t>
      </w:r>
    </w:p>
    <w:p>
      <w:pPr>
        <w:numPr>
          <w:ilvl w:val="3"/>
          <w:numId w:val="51"/>
        </w:numPr>
        <w:autoSpaceDE w:val="0"/>
        <w:autoSpaceDN w:val="0"/>
        <w:adjustRightInd w:val="0"/>
        <w:spacing w:after="0" w:line="360" w:lineRule="auto"/>
        <w:ind w:left="2552"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Terbentuknya kelembagaan perlindungan untuk usaha, konsumen dan produk Koperasi dan UKM di setiap wilayah yang memiliki kewenangan dalam penindakan.</w:t>
      </w:r>
    </w:p>
    <w:p>
      <w:pPr>
        <w:numPr>
          <w:ilvl w:val="3"/>
          <w:numId w:val="51"/>
        </w:numPr>
        <w:autoSpaceDE w:val="0"/>
        <w:autoSpaceDN w:val="0"/>
        <w:adjustRightInd w:val="0"/>
        <w:spacing w:after="0" w:line="360" w:lineRule="auto"/>
        <w:ind w:left="2552"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Re-evaluasi peraturan-peraturan yang menghambat kemudahan dan kepastian investasi dalam usaha Koperasi dan UKM. </w:t>
      </w:r>
    </w:p>
    <w:p>
      <w:pPr>
        <w:numPr>
          <w:ilvl w:val="3"/>
          <w:numId w:val="51"/>
        </w:numPr>
        <w:autoSpaceDE w:val="0"/>
        <w:autoSpaceDN w:val="0"/>
        <w:adjustRightInd w:val="0"/>
        <w:spacing w:after="0" w:line="360" w:lineRule="auto"/>
        <w:ind w:left="2552" w:hanging="426"/>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Peningkatan partisipasi aktif dari stakeholder wilayah dalam memberikan kemudahan, kepastian dan perlindungan usaha, konsumen, dan produk dalam lingkup Koperasi dan UKM</w:t>
      </w:r>
    </w:p>
    <w:p>
      <w:pPr>
        <w:autoSpaceDE w:val="0"/>
        <w:autoSpaceDN w:val="0"/>
        <w:adjustRightInd w:val="0"/>
        <w:spacing w:after="0" w:line="360" w:lineRule="auto"/>
        <w:ind w:left="1701"/>
        <w:contextualSpacing/>
        <w:jc w:val="both"/>
        <w:rPr>
          <w:rFonts w:ascii="Bookman Old Style" w:hAnsi="Bookman Old Style" w:eastAsia="Times New Roman" w:cs="Times New Roman"/>
          <w:sz w:val="24"/>
          <w:szCs w:val="20"/>
        </w:rPr>
      </w:pPr>
    </w:p>
    <w:p>
      <w:pPr>
        <w:tabs>
          <w:tab w:val="left" w:pos="1701"/>
        </w:tabs>
        <w:autoSpaceDE w:val="0"/>
        <w:autoSpaceDN w:val="0"/>
        <w:adjustRightInd w:val="0"/>
        <w:spacing w:before="240" w:after="0" w:line="360" w:lineRule="auto"/>
        <w:ind w:left="709"/>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Dengan konteks tujuan dan sasaran K/L dan Propinsi tersebut, penataan ruang diyakini sebagai pendekatan yang tepat dalam mewujudkan keterpaduan pengelolaan sumber daya alam dan sumber daya buatan secara berdaya guna dan berhasil guna. Sehingga pengembangan pelayanan Perangkat Daerah untuk urusan Koperasi, Usaha Kecil Menengah pada lima tahun mendatang  diharapkan mampu menentukan product, Price,Place,Promotion dalam bisnis UMKM sesuai dengan kebutuhan yang diinginkan oleh semua konsumen serta dapat membentuk kebijakan yang bisa dilakukan untuk mempercepat UMKM naik kelas yaitu adanya perizinan sehingga UMKM mampu merambah pasarnya ke skala nasional bahkan ekspor.</w:t>
      </w:r>
    </w:p>
    <w:p>
      <w:pPr>
        <w:tabs>
          <w:tab w:val="left" w:pos="426"/>
        </w:tabs>
        <w:autoSpaceDE w:val="0"/>
        <w:autoSpaceDN w:val="0"/>
        <w:adjustRightInd w:val="0"/>
        <w:spacing w:before="240" w:after="0" w:line="360" w:lineRule="auto"/>
        <w:ind w:left="709"/>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2.4.3.2. Analisis Renstra K/L dan Dinas Perdagangan Propinsi </w:t>
      </w:r>
    </w:p>
    <w:p>
      <w:pPr>
        <w:autoSpaceDE w:val="0"/>
        <w:autoSpaceDN w:val="0"/>
        <w:adjustRightInd w:val="0"/>
        <w:spacing w:after="0" w:line="360" w:lineRule="auto"/>
        <w:ind w:left="1843" w:firstLine="11"/>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Untuk Kementerian Perdagangan ada 3 ( tiga ) misi utama yaitu : meningkatkan kinerja ekspor non-migas secara berkualitas, menguatkan pasar dalam negeri, dan menjaga ketersediaan bahan pokok dan peguatan jaringan distribusi nasional.</w:t>
      </w:r>
      <w:r>
        <w:rPr>
          <w:rFonts w:ascii="Bookman Old Style" w:hAnsi="Bookman Old Style" w:eastAsia="Times New Roman" w:cs="Times New Roman"/>
          <w:color w:val="000000"/>
          <w:sz w:val="24"/>
          <w:szCs w:val="24"/>
          <w:lang w:eastAsia="id-ID"/>
        </w:rPr>
        <w:t xml:space="preserve"> </w:t>
      </w:r>
      <w:r>
        <w:rPr>
          <w:rFonts w:ascii="Bookman Old Style" w:hAnsi="Bookman Old Style" w:eastAsia="Times New Roman" w:cs="Tahoma"/>
          <w:color w:val="000000"/>
          <w:sz w:val="24"/>
          <w:szCs w:val="24"/>
          <w:lang w:eastAsia="id-ID"/>
        </w:rPr>
        <w:t xml:space="preserve">Pengendalian harga yang dilakukan mempengaruhi laju inflasi nasional. </w:t>
      </w:r>
    </w:p>
    <w:p>
      <w:pPr>
        <w:autoSpaceDE w:val="0"/>
        <w:autoSpaceDN w:val="0"/>
        <w:adjustRightInd w:val="0"/>
        <w:spacing w:after="0" w:line="360" w:lineRule="auto"/>
        <w:ind w:left="1843" w:firstLine="11"/>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Begitu pula penetrasi pasar juga mempengaruhi harga tetap stabil dan memantau pengamanan pasokan, Pengembangan kapasitas logistik menjadi salah satu upaya dalam peningkatan pembangunan sarana dan distribusi perdagangan. Pengembangan kapasitas tersebut melalui peningkatan kualitas sarana distribusi (pasar, pusat distribusi regional, peningkatan kapasitas pelaku logistik) dan peningkatan koordinasi antar instansi yang terkait. Salah satu upaya yang dilakukan adalah melalui Gerai Maritim. Gerai Maritim merupakan sistem distribusi logistik bahan pokok antar pulau yang terintegrasi melalui jalur laut dan bertujuan menjamin ketersediaan dan stabilisasi harga barang di berbagai wilayah terpencil dan terluar Indonesia, serta mengurangi disparitas harga antardaerah terutama di wilayah Indonesia bagian barat dan Indonesia bagian timur.</w:t>
      </w:r>
    </w:p>
    <w:p>
      <w:pPr>
        <w:autoSpaceDE w:val="0"/>
        <w:autoSpaceDN w:val="0"/>
        <w:adjustRightInd w:val="0"/>
        <w:spacing w:after="0" w:line="360" w:lineRule="auto"/>
        <w:ind w:left="1843" w:firstLine="1134"/>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Pengembangan kapasitas logistik menjadi salah satu upaya dalam peningkatan pembangunan sarana dan distribusi perdagangan. Pengembangan  kapasitas  tersebut  melalui peningkatan kualitas sarana distribusi (pasar, pusat distribusi regional, peningkatan kapasitas pelaku logistik) dan peningkatan koordinasi antar instansi yang terkait Salah satu upaya yang dilakukan adalah melalui Gerai Maritim. Gerai Maritim merupakan sistem distribusi logistik bahan pokok antar pulau yang terintegrasi melalui jalur laut dan bertujuan menjamin ketersediaan dan stabilisasi harga barang di berbagai wilayah terpencil dan terluar Indonesia, serta mengurangi disparitas harga antardaerah terutama di wilayah Indonesia bagian barat dan Indonesia bagian timur.</w:t>
      </w:r>
    </w:p>
    <w:p>
      <w:pPr>
        <w:autoSpaceDE w:val="0"/>
        <w:autoSpaceDN w:val="0"/>
        <w:adjustRightInd w:val="0"/>
        <w:spacing w:after="0" w:line="360" w:lineRule="auto"/>
        <w:ind w:left="1843" w:firstLine="1134"/>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Perlindungan konsumen nasional dilaksanakan dengan 2 (dua) pendekatan utama, yaitu preventif dan represif. Upaya preventif perlindungan konsumen dilakukan sebelum konsumen mengalami kerugian atau menderita sakit akibat mengonsumsi/menggunakan barang dan/atau jasa, sedangkan upaya represif perlindungan konsumen dilakukan setelah konsumen mengalami kerugian atau menderita sakit akibat mengonsumsi/menggunakan barang dan/atau jasa.</w:t>
      </w:r>
    </w:p>
    <w:p>
      <w:pPr>
        <w:autoSpaceDE w:val="0"/>
        <w:autoSpaceDN w:val="0"/>
        <w:adjustRightInd w:val="0"/>
        <w:spacing w:after="0" w:line="360" w:lineRule="auto"/>
        <w:ind w:left="1843" w:firstLine="1134"/>
        <w:jc w:val="both"/>
        <w:rPr>
          <w:rFonts w:ascii="Bookman Old Style" w:hAnsi="Bookman Old Style" w:eastAsia="Times New Roman" w:cs="Tahoma"/>
          <w:color w:val="000000"/>
          <w:sz w:val="24"/>
          <w:szCs w:val="24"/>
          <w:lang w:eastAsia="id-ID"/>
        </w:rPr>
      </w:pPr>
      <w:r>
        <w:rPr>
          <w:rFonts w:ascii="Bookman Old Style" w:hAnsi="Bookman Old Style" w:eastAsia="Times New Roman" w:cs="Times New Roman"/>
          <w:color w:val="000000"/>
          <w:sz w:val="24"/>
          <w:szCs w:val="24"/>
          <w:lang w:eastAsia="id-ID"/>
        </w:rPr>
        <w:t>Dalam rangka mewujudkan Visi dan Misi serta memperhatikan potensi, permasalahan dan tantangan yang akan dihadapi, maka Tujuan yang ingin dicapai Kementerian Perdagangan dalam kurun waktu 2020-2024, adalah sebagai berikut :</w:t>
      </w:r>
    </w:p>
    <w:p>
      <w:pPr>
        <w:numPr>
          <w:ilvl w:val="2"/>
          <w:numId w:val="55"/>
        </w:numPr>
        <w:tabs>
          <w:tab w:val="left" w:pos="1701"/>
        </w:tabs>
        <w:autoSpaceDE w:val="0"/>
        <w:autoSpaceDN w:val="0"/>
        <w:adjustRightInd w:val="0"/>
        <w:spacing w:after="0" w:line="360" w:lineRule="auto"/>
        <w:ind w:left="2268" w:hanging="425"/>
        <w:jc w:val="both"/>
        <w:rPr>
          <w:rFonts w:ascii="Bookman Old Style" w:hAnsi="Bookman Old Style" w:eastAsia="Times New Roman" w:cs="Tahoma"/>
          <w:sz w:val="24"/>
          <w:szCs w:val="24"/>
          <w:lang w:eastAsia="id-ID"/>
        </w:rPr>
      </w:pPr>
      <w:r>
        <w:rPr>
          <w:rFonts w:ascii="Bookman Old Style" w:hAnsi="Bookman Old Style" w:eastAsia="Times New Roman" w:cs="Times New Roman"/>
          <w:color w:val="000000"/>
          <w:sz w:val="24"/>
          <w:szCs w:val="24"/>
          <w:lang w:eastAsia="id-ID"/>
        </w:rPr>
        <w:t>Peningkatan kinerja ekspor non-migas dan jasa</w:t>
      </w:r>
    </w:p>
    <w:p>
      <w:pPr>
        <w:numPr>
          <w:ilvl w:val="2"/>
          <w:numId w:val="55"/>
        </w:numPr>
        <w:tabs>
          <w:tab w:val="left" w:pos="1701"/>
        </w:tabs>
        <w:autoSpaceDE w:val="0"/>
        <w:autoSpaceDN w:val="0"/>
        <w:adjustRightInd w:val="0"/>
        <w:spacing w:after="0" w:line="360" w:lineRule="auto"/>
        <w:ind w:left="2268" w:hanging="425"/>
        <w:jc w:val="both"/>
        <w:rPr>
          <w:rFonts w:ascii="Bookman Old Style" w:hAnsi="Bookman Old Style" w:eastAsia="Times New Roman" w:cs="Tahoma"/>
          <w:sz w:val="24"/>
          <w:szCs w:val="24"/>
          <w:lang w:eastAsia="id-ID"/>
        </w:rPr>
      </w:pPr>
      <w:r>
        <w:rPr>
          <w:rFonts w:ascii="Bookman Old Style" w:hAnsi="Bookman Old Style" w:eastAsia="Times New Roman" w:cs="Times New Roman"/>
          <w:color w:val="000000"/>
          <w:sz w:val="24"/>
          <w:szCs w:val="24"/>
          <w:lang w:eastAsia="id-ID"/>
        </w:rPr>
        <w:t>Peningkatan konsumsi nasional yang mendukung pertumbuhan ekonomi</w:t>
      </w:r>
    </w:p>
    <w:p>
      <w:pPr>
        <w:numPr>
          <w:ilvl w:val="2"/>
          <w:numId w:val="55"/>
        </w:numPr>
        <w:tabs>
          <w:tab w:val="left" w:pos="1701"/>
        </w:tabs>
        <w:autoSpaceDE w:val="0"/>
        <w:autoSpaceDN w:val="0"/>
        <w:adjustRightInd w:val="0"/>
        <w:spacing w:after="0" w:line="360" w:lineRule="auto"/>
        <w:ind w:left="2268" w:hanging="425"/>
        <w:jc w:val="both"/>
        <w:rPr>
          <w:rFonts w:ascii="Bookman Old Style" w:hAnsi="Bookman Old Style" w:eastAsia="Times New Roman" w:cs="Tahoma"/>
          <w:sz w:val="24"/>
          <w:szCs w:val="24"/>
          <w:lang w:eastAsia="id-ID"/>
        </w:rPr>
      </w:pPr>
      <w:r>
        <w:rPr>
          <w:rFonts w:ascii="Bookman Old Style" w:hAnsi="Bookman Old Style" w:eastAsia="Times New Roman" w:cs="Times New Roman"/>
          <w:color w:val="000000"/>
          <w:sz w:val="24"/>
          <w:szCs w:val="24"/>
          <w:lang w:eastAsia="id-ID"/>
        </w:rPr>
        <w:t>Terwujudnya tata kelola pemerintahan di Kementerian Perdagangan yang baik dan berkualita</w:t>
      </w:r>
    </w:p>
    <w:p>
      <w:pPr>
        <w:tabs>
          <w:tab w:val="left" w:pos="1701"/>
        </w:tabs>
        <w:autoSpaceDE w:val="0"/>
        <w:autoSpaceDN w:val="0"/>
        <w:adjustRightInd w:val="0"/>
        <w:spacing w:after="0" w:line="360" w:lineRule="auto"/>
        <w:ind w:left="1843"/>
        <w:jc w:val="both"/>
        <w:rPr>
          <w:rFonts w:ascii="Bookman Old Style" w:hAnsi="Bookman Old Style" w:eastAsia="Times New Roman" w:cs="Tahoma"/>
          <w:sz w:val="24"/>
          <w:szCs w:val="24"/>
          <w:lang w:eastAsia="id-ID"/>
        </w:rPr>
      </w:pP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 xml:space="preserve">Sasaran strategis merupakan penjabaran dari tujuan yang telah dirumuskan dan merupakan kondisi yang akan dicapai oleh Kementerian Perdagangan selama periode pembangunan tahun 2020- 2024 dan dapat diukur secara nyata melalui indikator-indikator kinerja. Sasaran strategis Kementerian Perdagangan adalah : </w:t>
      </w:r>
    </w:p>
    <w:p>
      <w:pPr>
        <w:numPr>
          <w:ilvl w:val="2"/>
          <w:numId w:val="12"/>
        </w:num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Meningkatnya Pertumbuhan Ekspor Barang Non-Migas yang Bernilai Tambah dan Jasa.</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 xml:space="preserve">2. </w:t>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Terwujudnya stabilisasi harga dan ketersediaan pasokan barang kebutuhan pokok.</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3.</w:t>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Terwujudnya konsumen berdaya dan pelaku usaha yang bertanggung jawab.</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 xml:space="preserve">4. </w:t>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Meningkatnya pasar produk dalam negeri.</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 xml:space="preserve">5. </w:t>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Optimalnya peranan PBK, SRG dan PLK.</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 xml:space="preserve">6. </w:t>
      </w:r>
      <w:r>
        <w:rPr>
          <w:rFonts w:ascii="Bookman Old Style" w:hAnsi="Bookman Old Style" w:eastAsia="Times New Roman" w:cs="Times New Roman"/>
          <w:color w:val="000000"/>
          <w:sz w:val="24"/>
          <w:szCs w:val="24"/>
          <w:lang w:eastAsia="id-ID"/>
        </w:rPr>
        <w:tab/>
      </w:r>
      <w:r>
        <w:rPr>
          <w:rFonts w:ascii="Bookman Old Style" w:hAnsi="Bookman Old Style" w:eastAsia="Times New Roman" w:cs="Times New Roman"/>
          <w:color w:val="000000"/>
          <w:sz w:val="24"/>
          <w:szCs w:val="24"/>
          <w:lang w:eastAsia="id-ID"/>
        </w:rPr>
        <w:t xml:space="preserve">Meningkatnya kinerja perdagangan yang bersih, akuntabel dan professional, dan </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imes New Roman"/>
          <w:color w:val="000000"/>
          <w:sz w:val="24"/>
          <w:szCs w:val="24"/>
          <w:lang w:eastAsia="id-ID"/>
        </w:rPr>
      </w:pPr>
      <w:r>
        <w:rPr>
          <w:rFonts w:ascii="Bookman Old Style" w:hAnsi="Bookman Old Style" w:eastAsia="Times New Roman" w:cs="Times New Roman"/>
          <w:color w:val="000000"/>
          <w:sz w:val="24"/>
          <w:szCs w:val="24"/>
          <w:lang w:eastAsia="id-ID"/>
        </w:rPr>
        <w:t>7.  Meningkatnya kapabilitas SDM Perdagangan.</w:t>
      </w:r>
    </w:p>
    <w:p>
      <w:pPr>
        <w:tabs>
          <w:tab w:val="left" w:pos="1701"/>
        </w:tabs>
        <w:autoSpaceDE w:val="0"/>
        <w:autoSpaceDN w:val="0"/>
        <w:adjustRightInd w:val="0"/>
        <w:spacing w:after="0" w:line="360" w:lineRule="auto"/>
        <w:ind w:left="2268" w:hanging="425"/>
        <w:jc w:val="both"/>
        <w:rPr>
          <w:rFonts w:ascii="Bookman Old Style" w:hAnsi="Bookman Old Style" w:eastAsia="Times New Roman" w:cs="Tahoma"/>
          <w:sz w:val="24"/>
          <w:szCs w:val="24"/>
          <w:lang w:eastAsia="id-ID"/>
        </w:rPr>
      </w:pPr>
    </w:p>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sz w:val="24"/>
          <w:szCs w:val="24"/>
          <w:lang w:eastAsia="id-ID"/>
        </w:rPr>
      </w:pP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Untuk m</w:t>
      </w:r>
      <w:r>
        <w:rPr>
          <w:rFonts w:ascii="Bookman Old Style" w:hAnsi="Bookman Old Style" w:eastAsia="Times New Roman" w:cs="Times New Roman"/>
          <w:color w:val="000000"/>
          <w:sz w:val="24"/>
          <w:szCs w:val="24"/>
          <w:lang w:eastAsia="id-ID"/>
        </w:rPr>
        <w:t>ewujudkan Visi Dinas Perdagangan Provinsi Sulawesi Selatan melalui pelaksanaan misi yang telah ditetapkan, maka dirumuskan tujuan dan sasaran di sektor perdagangan yang akan dicapai sebagai bentuk perwujudan dalam perencanaan pembangunan jangka menengah daerah</w:t>
      </w:r>
      <w:r>
        <w:rPr>
          <w:rFonts w:ascii="Bookman Old Style" w:hAnsi="Bookman Old Style" w:eastAsia="Times New Roman" w:cs="Tahoma"/>
          <w:sz w:val="24"/>
          <w:szCs w:val="24"/>
          <w:lang w:eastAsia="id-ID"/>
        </w:rPr>
        <w:t xml:space="preserve"> Tujuan Dinas Perdagangan Propinsi Sulawesi Selatan tahun 2018-2023, adalah meningkatkan kinerja ekspor nonmigas secara berkualitas dan meningkatnya </w:t>
      </w:r>
      <w:r>
        <w:rPr>
          <w:rFonts w:ascii="Bookman Old Style" w:hAnsi="Bookman Old Style" w:eastAsia="Times New Roman" w:cs="Times New Roman"/>
          <w:color w:val="000000"/>
          <w:sz w:val="24"/>
          <w:szCs w:val="24"/>
          <w:lang w:eastAsia="id-ID"/>
        </w:rPr>
        <w:t>konsumsi daerah yang mendukung pertumbuhan ekonomi</w:t>
      </w:r>
      <w:r>
        <w:rPr>
          <w:rFonts w:ascii="Bookman Old Style" w:hAnsi="Bookman Old Style" w:eastAsia="Times New Roman" w:cs="Tahoma"/>
          <w:sz w:val="24"/>
          <w:szCs w:val="24"/>
          <w:lang w:eastAsia="id-ID"/>
        </w:rPr>
        <w:t>.</w:t>
      </w:r>
    </w:p>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sz w:val="24"/>
          <w:szCs w:val="24"/>
          <w:lang w:eastAsia="id-ID"/>
        </w:rPr>
        <w:tab/>
      </w:r>
      <w:r>
        <w:rPr>
          <w:rFonts w:ascii="Bookman Old Style" w:hAnsi="Bookman Old Style" w:eastAsia="Times New Roman" w:cs="Tahoma"/>
          <w:sz w:val="24"/>
          <w:szCs w:val="24"/>
          <w:lang w:eastAsia="id-ID"/>
        </w:rPr>
        <w:t>Agar tujuan itu tercapai, maka dilakukan penguatan pasar dalam negeri, menjaga ketersediaan bahan pokok dan peguatan jaringan distribusi nasional serta</w:t>
      </w:r>
      <w:r>
        <w:rPr>
          <w:rFonts w:ascii="Bookman Old Style" w:hAnsi="Bookman Old Style" w:eastAsia="Times New Roman" w:cs="Times New Roman"/>
          <w:color w:val="000000"/>
          <w:sz w:val="24"/>
          <w:szCs w:val="24"/>
          <w:lang w:eastAsia="id-ID"/>
        </w:rPr>
        <w:t xml:space="preserve"> </w:t>
      </w:r>
      <w:r>
        <w:rPr>
          <w:rFonts w:ascii="Bookman Old Style" w:hAnsi="Bookman Old Style" w:eastAsia="Times New Roman" w:cs="Tahoma"/>
          <w:color w:val="000000"/>
          <w:sz w:val="24"/>
          <w:szCs w:val="24"/>
          <w:lang w:eastAsia="id-ID"/>
        </w:rPr>
        <w:t xml:space="preserve">Pengendalian harga yang dilakukan mempengaruhi laju inflasi nasional. </w:t>
      </w:r>
    </w:p>
    <w:p>
      <w:pPr>
        <w:tabs>
          <w:tab w:val="left" w:pos="1276"/>
          <w:tab w:val="left" w:pos="1701"/>
        </w:tabs>
        <w:autoSpaceDE w:val="0"/>
        <w:autoSpaceDN w:val="0"/>
        <w:adjustRightInd w:val="0"/>
        <w:spacing w:after="0" w:line="360" w:lineRule="auto"/>
        <w:ind w:left="709"/>
        <w:jc w:val="both"/>
        <w:rPr>
          <w:rFonts w:ascii="Bookman Old Style" w:hAnsi="Bookman Old Style" w:eastAsia="Times New Roman" w:cs="Tahoma"/>
          <w:color w:val="000000"/>
          <w:sz w:val="24"/>
          <w:szCs w:val="24"/>
          <w:lang w:eastAsia="id-ID"/>
        </w:rPr>
      </w:pP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ab/>
      </w:r>
      <w:r>
        <w:rPr>
          <w:rFonts w:ascii="Bookman Old Style" w:hAnsi="Bookman Old Style" w:eastAsia="Times New Roman" w:cs="Tahoma"/>
          <w:color w:val="000000"/>
          <w:sz w:val="24"/>
          <w:szCs w:val="24"/>
          <w:lang w:eastAsia="id-ID"/>
        </w:rPr>
        <w:t>Begitu pula penetrasi pasar juga mempengaruhi harga tetap stabil dan memantau pengamanan sehingga ditetapkan sasaran strategis sebagai berikut :</w:t>
      </w:r>
    </w:p>
    <w:p>
      <w:pPr>
        <w:numPr>
          <w:ilvl w:val="2"/>
          <w:numId w:val="56"/>
        </w:numPr>
        <w:tabs>
          <w:tab w:val="left" w:pos="1276"/>
          <w:tab w:val="left" w:pos="1701"/>
        </w:tabs>
        <w:autoSpaceDE w:val="0"/>
        <w:autoSpaceDN w:val="0"/>
        <w:adjustRightInd w:val="0"/>
        <w:spacing w:after="0" w:line="360" w:lineRule="auto"/>
        <w:ind w:left="1134" w:hanging="360"/>
        <w:jc w:val="both"/>
        <w:rPr>
          <w:rFonts w:ascii="Bookman Old Style" w:hAnsi="Bookman Old Style" w:eastAsia="Times New Roman" w:cs="Tahoma"/>
          <w:color w:val="000000"/>
          <w:sz w:val="24"/>
          <w:szCs w:val="24"/>
          <w:lang w:eastAsia="id-ID"/>
        </w:rPr>
      </w:pPr>
      <w:r>
        <w:rPr>
          <w:rFonts w:ascii="Bookman Old Style" w:hAnsi="Bookman Old Style" w:eastAsia="Times New Roman" w:cs="Times New Roman"/>
          <w:color w:val="000000"/>
          <w:sz w:val="24"/>
          <w:szCs w:val="24"/>
          <w:lang w:eastAsia="id-ID"/>
        </w:rPr>
        <w:t>Meningkatnya kinerja ekspor non-migas</w:t>
      </w:r>
    </w:p>
    <w:p>
      <w:pPr>
        <w:numPr>
          <w:ilvl w:val="2"/>
          <w:numId w:val="56"/>
        </w:numPr>
        <w:tabs>
          <w:tab w:val="left" w:pos="1276"/>
          <w:tab w:val="left" w:pos="1701"/>
        </w:tabs>
        <w:autoSpaceDE w:val="0"/>
        <w:autoSpaceDN w:val="0"/>
        <w:adjustRightInd w:val="0"/>
        <w:spacing w:after="0" w:line="360" w:lineRule="auto"/>
        <w:ind w:left="1134" w:hanging="360"/>
        <w:jc w:val="both"/>
        <w:rPr>
          <w:rFonts w:ascii="Bookman Old Style" w:hAnsi="Bookman Old Style" w:eastAsia="Times New Roman" w:cs="Tahoma"/>
          <w:color w:val="000000"/>
          <w:sz w:val="24"/>
          <w:szCs w:val="24"/>
          <w:lang w:eastAsia="id-ID"/>
        </w:rPr>
      </w:pPr>
      <w:r>
        <w:rPr>
          <w:rFonts w:ascii="Bookman Old Style" w:hAnsi="Bookman Old Style" w:eastAsia="Times New Roman" w:cs="Times New Roman"/>
          <w:color w:val="000000"/>
          <w:sz w:val="24"/>
          <w:szCs w:val="24"/>
          <w:lang w:eastAsia="id-ID"/>
        </w:rPr>
        <w:t>Terwujudnya stabilisasi harga dan ketersediaan pasokan barang kebutuhan pokok.</w:t>
      </w:r>
    </w:p>
    <w:p>
      <w:pPr>
        <w:numPr>
          <w:ilvl w:val="2"/>
          <w:numId w:val="56"/>
        </w:numPr>
        <w:tabs>
          <w:tab w:val="left" w:pos="1276"/>
          <w:tab w:val="left" w:pos="1701"/>
        </w:tabs>
        <w:autoSpaceDE w:val="0"/>
        <w:autoSpaceDN w:val="0"/>
        <w:adjustRightInd w:val="0"/>
        <w:spacing w:after="0" w:line="360" w:lineRule="auto"/>
        <w:ind w:left="1134" w:hanging="360"/>
        <w:jc w:val="both"/>
        <w:rPr>
          <w:rFonts w:ascii="Bookman Old Style" w:hAnsi="Bookman Old Style" w:eastAsia="Times New Roman" w:cs="Tahoma"/>
          <w:color w:val="000000"/>
          <w:sz w:val="24"/>
          <w:szCs w:val="24"/>
          <w:lang w:eastAsia="id-ID"/>
        </w:rPr>
      </w:pPr>
      <w:r>
        <w:rPr>
          <w:rFonts w:ascii="Bookman Old Style" w:hAnsi="Bookman Old Style" w:eastAsia="Times New Roman" w:cs="Times New Roman"/>
          <w:color w:val="000000"/>
          <w:sz w:val="24"/>
          <w:szCs w:val="24"/>
          <w:lang w:eastAsia="id-ID"/>
        </w:rPr>
        <w:t>Terwujudnya konsumen berdaya dan pelaku usaha yang bertanggung jawab.</w:t>
      </w:r>
    </w:p>
    <w:p>
      <w:pPr>
        <w:tabs>
          <w:tab w:val="left" w:pos="1701"/>
        </w:tabs>
        <w:snapToGrid w:val="0"/>
        <w:spacing w:after="0" w:line="360" w:lineRule="auto"/>
        <w:ind w:left="709"/>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ab/>
      </w:r>
      <w:r>
        <w:rPr>
          <w:rFonts w:ascii="Bookman Old Style" w:hAnsi="Bookman Old Style" w:eastAsia="Times New Roman" w:cs="Times New Roman"/>
          <w:sz w:val="24"/>
          <w:szCs w:val="20"/>
        </w:rPr>
        <w:t xml:space="preserve">Dengan konteks tujuan dan sasaran K/L dan Propinsi tersebut, </w:t>
      </w:r>
    </w:p>
    <w:p>
      <w:pPr>
        <w:tabs>
          <w:tab w:val="left" w:pos="426"/>
          <w:tab w:val="left" w:pos="851"/>
        </w:tabs>
        <w:autoSpaceDE w:val="0"/>
        <w:autoSpaceDN w:val="0"/>
        <w:adjustRightInd w:val="0"/>
        <w:spacing w:after="0" w:line="360" w:lineRule="auto"/>
        <w:ind w:left="709"/>
        <w:contextualSpacing/>
        <w:jc w:val="both"/>
        <w:rPr>
          <w:rFonts w:ascii="Bookman Old Style" w:hAnsi="Bookman Old Style" w:eastAsia="Times New Roman" w:cs="Tahoma"/>
          <w:bCs/>
          <w:sz w:val="24"/>
          <w:szCs w:val="20"/>
        </w:rPr>
      </w:pPr>
      <w:r>
        <w:rPr>
          <w:rFonts w:ascii="Bookman Old Style" w:hAnsi="Bookman Old Style" w:eastAsia="Times New Roman" w:cs="Tahoma"/>
          <w:bCs/>
          <w:sz w:val="24"/>
          <w:szCs w:val="20"/>
        </w:rPr>
        <w:t>Arah kebijakan perdagangan dalam negeri adalah Peningkatan Penataan Sistem Distribusi Nasinal yang menjamin kelancaran arus barang dan jasa, kepastian usaha, dan daya saing produk domestic, oleh karena itu perlu strategi antara lain meningkatkan integrasi antar dan intra wilayah melalui pengembangan jaringan distribusi perdagangan, untuk mendorong  kelancaran  arus  barang  sehingga ketersediaan barang dan</w:t>
      </w:r>
    </w:p>
    <w:p>
      <w:pPr>
        <w:tabs>
          <w:tab w:val="left" w:pos="426"/>
          <w:tab w:val="left" w:pos="851"/>
        </w:tabs>
        <w:autoSpaceDE w:val="0"/>
        <w:autoSpaceDN w:val="0"/>
        <w:adjustRightInd w:val="0"/>
        <w:spacing w:after="0" w:line="360" w:lineRule="auto"/>
        <w:ind w:left="709"/>
        <w:contextualSpacing/>
        <w:jc w:val="both"/>
        <w:rPr>
          <w:rFonts w:ascii="Bookman Old Style" w:hAnsi="Bookman Old Style" w:eastAsia="Times New Roman" w:cs="Tahoma"/>
          <w:bCs/>
          <w:sz w:val="24"/>
          <w:szCs w:val="20"/>
        </w:rPr>
      </w:pPr>
      <w:r>
        <w:rPr>
          <w:rFonts w:ascii="Bookman Old Style" w:hAnsi="Bookman Old Style" w:eastAsia="Times New Roman" w:cs="Tahoma"/>
          <w:bCs/>
          <w:sz w:val="24"/>
          <w:szCs w:val="20"/>
        </w:rPr>
        <w:t>kestabilan harga dapat terjaga dan meningkatkan iklim usaha perdagangan, melalui persaingan sehat dan pengamanan perdagangan untuk mendorong pengembangan usaha kecil dan menengah, peningkatan usaha ritel tradisional dan modern, bisnis waralaba, termasuk pengembangan pola kerjasama yang saling menguntungkan antar pelaku usaha.</w:t>
      </w:r>
    </w:p>
    <w:p>
      <w:pPr>
        <w:tabs>
          <w:tab w:val="left" w:pos="1701"/>
        </w:tabs>
        <w:autoSpaceDE w:val="0"/>
        <w:autoSpaceDN w:val="0"/>
        <w:adjustRightInd w:val="0"/>
        <w:spacing w:after="0" w:line="360" w:lineRule="auto"/>
        <w:ind w:left="709"/>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 xml:space="preserve">Adapun fokus dan kegiatan prioritas urusan perdagangan                              5 (lima) tahun kedepan adalah : </w:t>
      </w:r>
    </w:p>
    <w:p>
      <w:pPr>
        <w:tabs>
          <w:tab w:val="left" w:pos="851"/>
          <w:tab w:val="left" w:pos="1418"/>
        </w:tabs>
        <w:autoSpaceDE w:val="0"/>
        <w:autoSpaceDN w:val="0"/>
        <w:adjustRightInd w:val="0"/>
        <w:spacing w:after="0" w:line="360" w:lineRule="auto"/>
        <w:ind w:left="1134" w:hanging="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1.</w:t>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Peningkatan Jaringan Distribusi Logistik adalah dengan meningkatkan jaringan distribusi nasional untuk menjadikan Kepulauan Selayar sebagai Pusat Distribusi Logistik kawasan Timur Indonesia;</w:t>
      </w:r>
    </w:p>
    <w:p>
      <w:pPr>
        <w:tabs>
          <w:tab w:val="left" w:pos="851"/>
          <w:tab w:val="left" w:pos="1418"/>
        </w:tabs>
        <w:autoSpaceDE w:val="0"/>
        <w:autoSpaceDN w:val="0"/>
        <w:adjustRightInd w:val="0"/>
        <w:spacing w:after="0" w:line="360" w:lineRule="auto"/>
        <w:ind w:left="1134" w:hanging="425"/>
        <w:jc w:val="both"/>
        <w:rPr>
          <w:rFonts w:ascii="Bookman Old Style" w:hAnsi="Bookman Old Style" w:eastAsia="Times New Roman" w:cs="Tahoma"/>
          <w:bCs/>
          <w:sz w:val="24"/>
          <w:szCs w:val="24"/>
          <w:lang w:eastAsia="id-ID"/>
        </w:rPr>
      </w:pPr>
      <w:r>
        <w:rPr>
          <w:rFonts w:ascii="Bookman Old Style" w:hAnsi="Bookman Old Style" w:eastAsia="Times New Roman" w:cs="Tahoma"/>
          <w:bCs/>
          <w:sz w:val="24"/>
          <w:szCs w:val="24"/>
          <w:lang w:eastAsia="id-ID"/>
        </w:rPr>
        <w:t>2.</w:t>
      </w:r>
      <w:r>
        <w:rPr>
          <w:rFonts w:ascii="Bookman Old Style" w:hAnsi="Bookman Old Style" w:eastAsia="Times New Roman" w:cs="Tahoma"/>
          <w:bCs/>
          <w:sz w:val="24"/>
          <w:szCs w:val="24"/>
          <w:lang w:eastAsia="id-ID"/>
        </w:rPr>
        <w:tab/>
      </w:r>
      <w:r>
        <w:rPr>
          <w:rFonts w:ascii="Bookman Old Style" w:hAnsi="Bookman Old Style" w:eastAsia="Times New Roman" w:cs="Tahoma"/>
          <w:bCs/>
          <w:sz w:val="24"/>
          <w:szCs w:val="24"/>
          <w:lang w:eastAsia="id-ID"/>
        </w:rPr>
        <w:t>Pengembangan Kawasan distribusi logistik, untuk ketersediaan sarana dan prasarana penunjang kegiatan,</w:t>
      </w:r>
    </w:p>
    <w:p>
      <w:pPr>
        <w:tabs>
          <w:tab w:val="left" w:pos="851"/>
          <w:tab w:val="left" w:pos="1418"/>
        </w:tabs>
        <w:autoSpaceDE w:val="0"/>
        <w:autoSpaceDN w:val="0"/>
        <w:adjustRightInd w:val="0"/>
        <w:spacing w:after="0" w:line="360" w:lineRule="auto"/>
        <w:ind w:left="1134" w:hanging="425"/>
        <w:jc w:val="both"/>
        <w:rPr>
          <w:rFonts w:ascii="Bookman Old Style" w:hAnsi="Bookman Old Style" w:eastAsia="Times New Roman" w:cs="Tahoma"/>
          <w:bCs/>
          <w:color w:val="000000"/>
          <w:sz w:val="24"/>
          <w:szCs w:val="24"/>
          <w:lang w:eastAsia="id-ID"/>
        </w:rPr>
      </w:pPr>
      <w:r>
        <w:rPr>
          <w:rFonts w:ascii="Bookman Old Style" w:hAnsi="Bookman Old Style" w:eastAsia="Times New Roman" w:cs="Tahoma"/>
          <w:bCs/>
          <w:sz w:val="24"/>
          <w:szCs w:val="24"/>
          <w:lang w:eastAsia="id-ID"/>
        </w:rPr>
        <w:t xml:space="preserve">3.   </w:t>
      </w:r>
      <w:r>
        <w:rPr>
          <w:rFonts w:ascii="Bookman Old Style" w:hAnsi="Bookman Old Style" w:eastAsia="Times New Roman" w:cs="Tahoma"/>
          <w:bCs/>
          <w:color w:val="000000"/>
          <w:sz w:val="24"/>
          <w:szCs w:val="24"/>
          <w:lang w:eastAsia="id-ID"/>
        </w:rPr>
        <w:t>Peningkatan efektivitas pengawasan dan iklim usaha perdagangan.</w:t>
      </w:r>
    </w:p>
    <w:p>
      <w:pPr>
        <w:tabs>
          <w:tab w:val="left" w:pos="567"/>
        </w:tabs>
        <w:autoSpaceDE w:val="0"/>
        <w:autoSpaceDN w:val="0"/>
        <w:adjustRightInd w:val="0"/>
        <w:spacing w:before="240" w:after="0" w:line="360" w:lineRule="auto"/>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2.4.4.Tantangan dan Peluang</w:t>
      </w:r>
    </w:p>
    <w:p>
      <w:pPr>
        <w:tabs>
          <w:tab w:val="left" w:pos="1701"/>
        </w:tabs>
        <w:autoSpaceDE w:val="0"/>
        <w:autoSpaceDN w:val="0"/>
        <w:adjustRightInd w:val="0"/>
        <w:spacing w:after="0" w:line="360" w:lineRule="auto"/>
        <w:ind w:left="709"/>
        <w:jc w:val="both"/>
        <w:rPr>
          <w:rFonts w:ascii="Bookman Old Style" w:hAnsi="Bookman Old Style" w:eastAsia="Times New Roman" w:cs="Times New Roman"/>
          <w:color w:val="000000" w:themeColor="text1"/>
          <w:sz w:val="10"/>
          <w:szCs w:val="20"/>
          <w14:textFill>
            <w14:solidFill>
              <w14:schemeClr w14:val="tx1"/>
            </w14:solidFill>
          </w14:textFill>
        </w:rPr>
      </w:pPr>
    </w:p>
    <w:p>
      <w:pPr>
        <w:tabs>
          <w:tab w:val="left" w:pos="1843"/>
        </w:tabs>
        <w:autoSpaceDE w:val="0"/>
        <w:autoSpaceDN w:val="0"/>
        <w:adjustRightInd w:val="0"/>
        <w:spacing w:after="0" w:line="360" w:lineRule="auto"/>
        <w:ind w:left="851" w:hanging="142"/>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Berdasarkan isu-isu yang berkembang di masyarakat dan pengamatan terhadap  lingkungan strategis, dapat diidentifikasi adanya tantangan dan peluang dalam pengembangan pelayanan Dinas Perdagangan, Koperasi dan Usaha Kecil dan Menengah berdasarkan tugas dan fungsinya. </w:t>
      </w:r>
    </w:p>
    <w:p>
      <w:pPr>
        <w:tabs>
          <w:tab w:val="left" w:pos="1843"/>
        </w:tabs>
        <w:autoSpaceDE w:val="0"/>
        <w:autoSpaceDN w:val="0"/>
        <w:adjustRightInd w:val="0"/>
        <w:spacing w:after="0" w:line="360" w:lineRule="auto"/>
        <w:ind w:left="851" w:hanging="142"/>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Beberapa tantangan pengembangan pelayanan Dinas Perdagangan, Koperasi dan Usaha Kecil dan Menengah Kabupaten Kepulauan Selayar pada 3 urusan pemerintahan yaitu :</w:t>
      </w:r>
    </w:p>
    <w:p>
      <w:pPr>
        <w:tabs>
          <w:tab w:val="left" w:pos="1843"/>
        </w:tabs>
        <w:autoSpaceDE w:val="0"/>
        <w:autoSpaceDN w:val="0"/>
        <w:adjustRightInd w:val="0"/>
        <w:spacing w:after="0" w:line="360" w:lineRule="auto"/>
        <w:ind w:left="851" w:hanging="142"/>
        <w:jc w:val="both"/>
        <w:rPr>
          <w:rFonts w:ascii="Bookman Old Style" w:hAnsi="Bookman Old Style" w:eastAsia="Times New Roman" w:cs="Times New Roman"/>
          <w:color w:val="000000" w:themeColor="text1"/>
          <w:sz w:val="14"/>
          <w:szCs w:val="20"/>
          <w14:textFill>
            <w14:solidFill>
              <w14:schemeClr w14:val="tx1"/>
            </w14:solidFill>
          </w14:textFill>
        </w:rPr>
      </w:pPr>
    </w:p>
    <w:p>
      <w:pPr>
        <w:tabs>
          <w:tab w:val="left" w:pos="1418"/>
        </w:tabs>
        <w:autoSpaceDE w:val="0"/>
        <w:autoSpaceDN w:val="0"/>
        <w:adjustRightInd w:val="0"/>
        <w:spacing w:after="0" w:line="360" w:lineRule="auto"/>
        <w:ind w:left="567"/>
        <w:jc w:val="both"/>
        <w:rPr>
          <w:rFonts w:ascii="Bookman Old Style" w:hAnsi="Bookman Old Style" w:eastAsia="Times New Roman" w:cs="Times New Roman"/>
          <w:b/>
          <w:color w:val="000000" w:themeColor="text1"/>
          <w:sz w:val="24"/>
          <w:szCs w:val="20"/>
          <w14:textFill>
            <w14:solidFill>
              <w14:schemeClr w14:val="tx1"/>
            </w14:solidFill>
          </w14:textFill>
        </w:rPr>
      </w:pPr>
      <w:r>
        <w:rPr>
          <w:rFonts w:ascii="Bookman Old Style" w:hAnsi="Bookman Old Style" w:eastAsia="Times New Roman" w:cs="Times New Roman"/>
          <w:b/>
          <w:color w:val="000000" w:themeColor="text1"/>
          <w:sz w:val="24"/>
          <w:szCs w:val="20"/>
          <w14:textFill>
            <w14:solidFill>
              <w14:schemeClr w14:val="tx1"/>
            </w14:solidFill>
          </w14:textFill>
        </w:rPr>
        <w:t>Urusan Wajib Pelayanan Dasar</w:t>
      </w:r>
    </w:p>
    <w:p>
      <w:pPr>
        <w:tabs>
          <w:tab w:val="left" w:pos="851"/>
          <w:tab w:val="left" w:pos="1276"/>
        </w:tabs>
        <w:autoSpaceDE w:val="0"/>
        <w:autoSpaceDN w:val="0"/>
        <w:adjustRightInd w:val="0"/>
        <w:spacing w:after="0" w:line="360" w:lineRule="auto"/>
        <w:ind w:left="85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b/>
          <w:color w:val="000000" w:themeColor="text1"/>
          <w:sz w:val="24"/>
          <w:szCs w:val="20"/>
          <w14:textFill>
            <w14:solidFill>
              <w14:schemeClr w14:val="tx1"/>
            </w14:solidFill>
          </w14:textFill>
        </w:rPr>
        <w:t>1.</w:t>
      </w:r>
      <w:r>
        <w:rPr>
          <w:rFonts w:ascii="Bookman Old Style" w:hAnsi="Bookman Old Style" w:eastAsia="Times New Roman" w:cs="Times New Roman"/>
          <w:b/>
          <w:color w:val="000000" w:themeColor="text1"/>
          <w:sz w:val="24"/>
          <w:szCs w:val="20"/>
          <w14:textFill>
            <w14:solidFill>
              <w14:schemeClr w14:val="tx1"/>
            </w14:solidFill>
          </w14:textFill>
        </w:rPr>
        <w:tab/>
      </w:r>
      <w:r>
        <w:rPr>
          <w:rFonts w:ascii="Bookman Old Style" w:hAnsi="Bookman Old Style" w:eastAsia="Times New Roman" w:cs="Times New Roman"/>
          <w:b/>
          <w:color w:val="000000" w:themeColor="text1"/>
          <w:sz w:val="24"/>
          <w:szCs w:val="20"/>
          <w14:textFill>
            <w14:solidFill>
              <w14:schemeClr w14:val="tx1"/>
            </w14:solidFill>
          </w14:textFill>
        </w:rPr>
        <w:t>Urusan Koperasi dan Usaha Kecil dan Menengah</w:t>
      </w:r>
      <w:r>
        <w:rPr>
          <w:rFonts w:ascii="Bookman Old Style" w:hAnsi="Bookman Old Style" w:eastAsia="Times New Roman" w:cs="Times New Roman"/>
          <w:color w:val="000000" w:themeColor="text1"/>
          <w:sz w:val="24"/>
          <w:szCs w:val="20"/>
          <w14:textFill>
            <w14:solidFill>
              <w14:schemeClr w14:val="tx1"/>
            </w14:solidFill>
          </w14:textFill>
        </w:rPr>
        <w:t xml:space="preserve"> </w:t>
      </w:r>
    </w:p>
    <w:p>
      <w:pPr>
        <w:numPr>
          <w:ilvl w:val="0"/>
          <w:numId w:val="57"/>
        </w:numPr>
        <w:tabs>
          <w:tab w:val="left" w:pos="1276"/>
          <w:tab w:val="left" w:pos="1701"/>
        </w:tabs>
        <w:autoSpaceDE w:val="0"/>
        <w:autoSpaceDN w:val="0"/>
        <w:adjustRightInd w:val="0"/>
        <w:spacing w:after="0" w:line="360" w:lineRule="auto"/>
        <w:ind w:left="1701"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Masuknya produk impor yang menyebabkan produk UKM semakin terhimpit dan adanya tekanan persaingan</w:t>
      </w:r>
    </w:p>
    <w:p>
      <w:pPr>
        <w:numPr>
          <w:ilvl w:val="0"/>
          <w:numId w:val="57"/>
        </w:numPr>
        <w:tabs>
          <w:tab w:val="left" w:pos="1276"/>
          <w:tab w:val="left" w:pos="1701"/>
        </w:tabs>
        <w:autoSpaceDE w:val="0"/>
        <w:autoSpaceDN w:val="0"/>
        <w:adjustRightInd w:val="0"/>
        <w:spacing w:after="0" w:line="360" w:lineRule="auto"/>
        <w:ind w:left="1701"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Kompleksnya permasalahan yang harus ditangani berkaitan dengan pencapaian koperasi yang sehat dan berkualitas serta UMKM yang inovatif dan berdaya saing</w:t>
      </w:r>
    </w:p>
    <w:p>
      <w:pPr>
        <w:numPr>
          <w:ilvl w:val="0"/>
          <w:numId w:val="57"/>
        </w:numPr>
        <w:tabs>
          <w:tab w:val="left" w:pos="1276"/>
          <w:tab w:val="left" w:pos="1701"/>
        </w:tabs>
        <w:autoSpaceDE w:val="0"/>
        <w:autoSpaceDN w:val="0"/>
        <w:adjustRightInd w:val="0"/>
        <w:spacing w:after="0" w:line="360" w:lineRule="auto"/>
        <w:ind w:left="1701"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Masih rendahnya Kesadaran masyarakat dalam pengembangan Perkoperasian</w:t>
      </w:r>
    </w:p>
    <w:p>
      <w:pPr>
        <w:numPr>
          <w:ilvl w:val="0"/>
          <w:numId w:val="57"/>
        </w:numPr>
        <w:tabs>
          <w:tab w:val="left" w:pos="1276"/>
          <w:tab w:val="left" w:pos="1701"/>
        </w:tabs>
        <w:autoSpaceDE w:val="0"/>
        <w:autoSpaceDN w:val="0"/>
        <w:adjustRightInd w:val="0"/>
        <w:spacing w:after="0" w:line="360" w:lineRule="auto"/>
        <w:ind w:left="1701" w:hanging="85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Masih rendahnya SDM Pengurus dan Pengelola Koperasi. </w:t>
      </w:r>
    </w:p>
    <w:p>
      <w:pPr>
        <w:numPr>
          <w:ilvl w:val="0"/>
          <w:numId w:val="57"/>
        </w:numPr>
        <w:tabs>
          <w:tab w:val="left" w:pos="1276"/>
        </w:tabs>
        <w:autoSpaceDE w:val="0"/>
        <w:autoSpaceDN w:val="0"/>
        <w:adjustRightInd w:val="0"/>
        <w:spacing w:after="0" w:line="360" w:lineRule="auto"/>
        <w:ind w:left="1276"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Perlunya rumah kemasan pusat kuliner dan oleh-oleh. </w:t>
      </w:r>
    </w:p>
    <w:p>
      <w:pPr>
        <w:numPr>
          <w:ilvl w:val="0"/>
          <w:numId w:val="57"/>
        </w:numPr>
        <w:tabs>
          <w:tab w:val="left" w:pos="1276"/>
        </w:tabs>
        <w:autoSpaceDE w:val="0"/>
        <w:autoSpaceDN w:val="0"/>
        <w:adjustRightInd w:val="0"/>
        <w:spacing w:after="0" w:line="360" w:lineRule="auto"/>
        <w:ind w:left="1276"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Kurangnya Pengetahuan Pelaku Usaha dalam menumbuh kembangkan kewirausahan. </w:t>
      </w:r>
    </w:p>
    <w:p>
      <w:pPr>
        <w:numPr>
          <w:ilvl w:val="0"/>
          <w:numId w:val="57"/>
        </w:numPr>
        <w:tabs>
          <w:tab w:val="left" w:pos="1276"/>
        </w:tabs>
        <w:autoSpaceDE w:val="0"/>
        <w:autoSpaceDN w:val="0"/>
        <w:adjustRightInd w:val="0"/>
        <w:spacing w:after="0" w:line="360" w:lineRule="auto"/>
        <w:ind w:left="1276"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Belum maksimalnya peralatan dan Permodalan bagi UMKM. </w:t>
      </w:r>
    </w:p>
    <w:p>
      <w:pPr>
        <w:numPr>
          <w:ilvl w:val="0"/>
          <w:numId w:val="57"/>
        </w:numPr>
        <w:tabs>
          <w:tab w:val="left" w:pos="1276"/>
        </w:tabs>
        <w:autoSpaceDE w:val="0"/>
        <w:autoSpaceDN w:val="0"/>
        <w:adjustRightInd w:val="0"/>
        <w:spacing w:after="0" w:line="360" w:lineRule="auto"/>
        <w:ind w:left="1276"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Kurangnya produk UMKM yang memiliki standar pasar.</w:t>
      </w:r>
    </w:p>
    <w:p>
      <w:pPr>
        <w:numPr>
          <w:ilvl w:val="0"/>
          <w:numId w:val="57"/>
        </w:numPr>
        <w:tabs>
          <w:tab w:val="left" w:pos="1276"/>
        </w:tabs>
        <w:autoSpaceDE w:val="0"/>
        <w:autoSpaceDN w:val="0"/>
        <w:adjustRightInd w:val="0"/>
        <w:spacing w:after="0" w:line="360" w:lineRule="auto"/>
        <w:ind w:left="1276"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Rendahnya keinginan masyarakat untuk cinta produk lokal. </w:t>
      </w:r>
    </w:p>
    <w:p>
      <w:pPr>
        <w:numPr>
          <w:ilvl w:val="0"/>
          <w:numId w:val="57"/>
        </w:numPr>
        <w:tabs>
          <w:tab w:val="left" w:pos="1276"/>
        </w:tabs>
        <w:autoSpaceDE w:val="0"/>
        <w:autoSpaceDN w:val="0"/>
        <w:adjustRightInd w:val="0"/>
        <w:spacing w:after="0" w:line="360" w:lineRule="auto"/>
        <w:ind w:left="1276"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Kurangnya Pembinaan Bagi UMKM Penerima Bantuan Dana Bergulir</w:t>
      </w:r>
    </w:p>
    <w:p>
      <w:pPr>
        <w:tabs>
          <w:tab w:val="left" w:pos="851"/>
          <w:tab w:val="left" w:pos="1418"/>
        </w:tabs>
        <w:autoSpaceDE w:val="0"/>
        <w:autoSpaceDN w:val="0"/>
        <w:adjustRightInd w:val="0"/>
        <w:spacing w:after="0" w:line="360" w:lineRule="auto"/>
        <w:ind w:left="567"/>
        <w:jc w:val="both"/>
        <w:rPr>
          <w:rFonts w:ascii="Bookman Old Style" w:hAnsi="Bookman Old Style" w:eastAsia="Times New Roman" w:cs="Times New Roman"/>
          <w:b/>
          <w:color w:val="000000" w:themeColor="text1"/>
          <w:sz w:val="24"/>
          <w:szCs w:val="20"/>
          <w14:textFill>
            <w14:solidFill>
              <w14:schemeClr w14:val="tx1"/>
            </w14:solidFill>
          </w14:textFill>
        </w:rPr>
      </w:pPr>
      <w:r>
        <w:rPr>
          <w:rFonts w:ascii="Bookman Old Style" w:hAnsi="Bookman Old Style" w:eastAsia="Times New Roman" w:cs="Times New Roman"/>
          <w:b/>
          <w:color w:val="000000" w:themeColor="text1"/>
          <w:sz w:val="24"/>
          <w:szCs w:val="20"/>
          <w14:textFill>
            <w14:solidFill>
              <w14:schemeClr w14:val="tx1"/>
            </w14:solidFill>
          </w14:textFill>
        </w:rPr>
        <w:t>Urusan Pemerintahan Pilihan</w:t>
      </w:r>
    </w:p>
    <w:p>
      <w:pPr>
        <w:tabs>
          <w:tab w:val="left" w:pos="851"/>
          <w:tab w:val="left" w:pos="1418"/>
        </w:tabs>
        <w:autoSpaceDE w:val="0"/>
        <w:autoSpaceDN w:val="0"/>
        <w:adjustRightInd w:val="0"/>
        <w:spacing w:after="0" w:line="360" w:lineRule="auto"/>
        <w:ind w:left="567"/>
        <w:jc w:val="both"/>
        <w:rPr>
          <w:rFonts w:ascii="Bookman Old Style" w:hAnsi="Bookman Old Style" w:eastAsia="Times New Roman" w:cs="Times New Roman"/>
          <w:b/>
          <w:color w:val="000000" w:themeColor="text1"/>
          <w:sz w:val="24"/>
          <w:szCs w:val="20"/>
          <w14:textFill>
            <w14:solidFill>
              <w14:schemeClr w14:val="tx1"/>
            </w14:solidFill>
          </w14:textFill>
        </w:rPr>
      </w:pPr>
      <w:r>
        <w:rPr>
          <w:rFonts w:ascii="Bookman Old Style" w:hAnsi="Bookman Old Style" w:eastAsia="Times New Roman" w:cs="Times New Roman"/>
          <w:b/>
          <w:color w:val="000000" w:themeColor="text1"/>
          <w:sz w:val="24"/>
          <w:szCs w:val="20"/>
          <w14:textFill>
            <w14:solidFill>
              <w14:schemeClr w14:val="tx1"/>
            </w14:solidFill>
          </w14:textFill>
        </w:rPr>
        <w:t xml:space="preserve">Urusan Perdagangan </w:t>
      </w:r>
    </w:p>
    <w:p>
      <w:pPr>
        <w:autoSpaceDE w:val="0"/>
        <w:autoSpaceDN w:val="0"/>
        <w:adjustRightInd w:val="0"/>
        <w:spacing w:before="240" w:after="0" w:line="360" w:lineRule="auto"/>
        <w:ind w:left="1276" w:hanging="425"/>
        <w:jc w:val="both"/>
        <w:rPr>
          <w:rFonts w:ascii="Bookman Old Style" w:hAnsi="Bookman Old Style" w:eastAsia="Times New Roman" w:cs="Tahoma"/>
          <w:sz w:val="24"/>
          <w:szCs w:val="24"/>
        </w:rPr>
      </w:pPr>
      <w:r>
        <w:rPr>
          <w:rFonts w:ascii="Bookman Old Style" w:hAnsi="Bookman Old Style" w:eastAsia="Times New Roman" w:cs="Times New Roman"/>
          <w:color w:val="000000" w:themeColor="text1"/>
          <w:sz w:val="24"/>
          <w:szCs w:val="20"/>
          <w14:textFill>
            <w14:solidFill>
              <w14:schemeClr w14:val="tx1"/>
            </w14:solidFill>
          </w14:textFill>
        </w:rPr>
        <w:t xml:space="preserve">a. </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ahoma"/>
          <w:sz w:val="24"/>
          <w:szCs w:val="24"/>
        </w:rPr>
        <w:t>Akses pasar dan jaringan pemasaran masih perlu ditingkatkan;</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b.</w:t>
      </w:r>
      <w:r>
        <w:rPr>
          <w:rFonts w:ascii="Bookman Old Style" w:hAnsi="Bookman Old Style" w:eastAsia="Times New Roman" w:cs="Tahoma"/>
          <w:sz w:val="24"/>
          <w:szCs w:val="24"/>
        </w:rPr>
        <w:tab/>
      </w:r>
      <w:r>
        <w:rPr>
          <w:rFonts w:ascii="Bookman Old Style" w:hAnsi="Bookman Old Style" w:eastAsia="Times New Roman" w:cs="Tahoma"/>
          <w:sz w:val="24"/>
          <w:szCs w:val="24"/>
        </w:rPr>
        <w:t>Infrastruktur perdagangan masih perlu mendapat dukungan penuh dari pemerintah;</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c.</w:t>
      </w:r>
      <w:r>
        <w:rPr>
          <w:rFonts w:ascii="Bookman Old Style" w:hAnsi="Bookman Old Style" w:eastAsia="Times New Roman" w:cs="Tahoma"/>
          <w:sz w:val="24"/>
          <w:szCs w:val="24"/>
        </w:rPr>
        <w:tab/>
      </w:r>
      <w:r>
        <w:rPr>
          <w:rFonts w:ascii="Bookman Old Style" w:hAnsi="Bookman Old Style" w:eastAsia="Times New Roman" w:cs="Tahoma"/>
          <w:sz w:val="24"/>
          <w:szCs w:val="24"/>
        </w:rPr>
        <w:t>Kesadaran para produsen dan konsumen tentang tertib niaga dan perlindungan konsumen masih kurang;</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d.</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informasi harga pasar dan pengetahuan tentang teknis pemasaran;</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e.  Belum adanya kendaraan operasional yang mendukung tugas-tugas kemetrologian</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f.</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kerjasama pengawasan antar instansi dan lembaga perlindungan konsumen</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g.</w:t>
      </w:r>
      <w:r>
        <w:rPr>
          <w:rFonts w:ascii="Bookman Old Style" w:hAnsi="Bookman Old Style" w:eastAsia="Times New Roman" w:cs="Tahoma"/>
          <w:sz w:val="24"/>
          <w:szCs w:val="24"/>
        </w:rPr>
        <w:tab/>
      </w:r>
      <w:r>
        <w:rPr>
          <w:rFonts w:ascii="Bookman Old Style" w:hAnsi="Bookman Old Style" w:eastAsia="Times New Roman" w:cs="Tahoma"/>
          <w:sz w:val="24"/>
          <w:szCs w:val="24"/>
        </w:rPr>
        <w:t>Masih terbatasnya sumber daya aparatur pengawasan konsumen;</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h.</w:t>
      </w:r>
      <w:r>
        <w:rPr>
          <w:rFonts w:ascii="Bookman Old Style" w:hAnsi="Bookman Old Style" w:eastAsia="Times New Roman" w:cs="Tahoma"/>
          <w:sz w:val="24"/>
          <w:szCs w:val="24"/>
        </w:rPr>
        <w:tab/>
      </w:r>
      <w:r>
        <w:rPr>
          <w:rFonts w:ascii="Bookman Old Style" w:hAnsi="Bookman Old Style" w:eastAsia="Times New Roman" w:cs="Tahoma"/>
          <w:sz w:val="24"/>
          <w:szCs w:val="24"/>
        </w:rPr>
        <w:t>Masih minimnya bagi para pelaku usaha yang mencamtumkan label informasi kualitas produknya;</w:t>
      </w:r>
    </w:p>
    <w:p>
      <w:pPr>
        <w:tabs>
          <w:tab w:val="left" w:pos="284"/>
        </w:tabs>
        <w:autoSpaceDE w:val="0"/>
        <w:autoSpaceDN w:val="0"/>
        <w:adjustRightInd w:val="0"/>
        <w:spacing w:after="0" w:line="360" w:lineRule="auto"/>
        <w:ind w:left="1276" w:hanging="425"/>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i.</w:t>
      </w:r>
      <w:r>
        <w:rPr>
          <w:rFonts w:ascii="Bookman Old Style" w:hAnsi="Bookman Old Style" w:eastAsia="Times New Roman" w:cs="Tahoma"/>
          <w:sz w:val="24"/>
          <w:szCs w:val="24"/>
        </w:rPr>
        <w:tab/>
      </w:r>
      <w:r>
        <w:rPr>
          <w:rFonts w:ascii="Bookman Old Style" w:hAnsi="Bookman Old Style" w:eastAsia="Times New Roman" w:cs="Tahoma"/>
          <w:sz w:val="24"/>
          <w:szCs w:val="24"/>
        </w:rPr>
        <w:t>Semua komoditi asal Selayar belum bisa berstatus ekspor asal selayar karena belum adanya Surat Keterangan Asal Barang yang bisa diterbitkan di Selayar</w:t>
      </w:r>
    </w:p>
    <w:p>
      <w:pPr>
        <w:tabs>
          <w:tab w:val="left" w:pos="1276"/>
          <w:tab w:val="left" w:pos="1418"/>
        </w:tabs>
        <w:autoSpaceDE w:val="0"/>
        <w:autoSpaceDN w:val="0"/>
        <w:adjustRightInd w:val="0"/>
        <w:spacing w:after="0" w:line="360" w:lineRule="auto"/>
        <w:ind w:left="1276" w:hanging="425"/>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ahoma"/>
          <w:sz w:val="24"/>
          <w:szCs w:val="24"/>
        </w:rPr>
        <w:t>j.</w:t>
      </w:r>
      <w:r>
        <w:rPr>
          <w:rFonts w:ascii="Bookman Old Style" w:hAnsi="Bookman Old Style" w:eastAsia="Times New Roman" w:cs="Tahoma"/>
          <w:sz w:val="24"/>
          <w:szCs w:val="24"/>
        </w:rPr>
        <w:tab/>
      </w:r>
      <w:r>
        <w:rPr>
          <w:rFonts w:ascii="Bookman Old Style" w:hAnsi="Bookman Old Style" w:eastAsia="Times New Roman" w:cs="Tahoma"/>
          <w:sz w:val="24"/>
          <w:szCs w:val="24"/>
        </w:rPr>
        <w:t>Belum maksimalnya pengembangan Pasar Bonea dikarenakan sampai dengan saat ini pedagang pasar yang menempati Pasar Tempat Pelelangan Ikan belum berhasil direlokasi ke pasar Bonea</w:t>
      </w:r>
    </w:p>
    <w:p>
      <w:pPr>
        <w:tabs>
          <w:tab w:val="left" w:pos="1276"/>
          <w:tab w:val="left" w:pos="1418"/>
        </w:tabs>
        <w:autoSpaceDE w:val="0"/>
        <w:autoSpaceDN w:val="0"/>
        <w:adjustRightInd w:val="0"/>
        <w:spacing w:after="0" w:line="360" w:lineRule="auto"/>
        <w:ind w:left="1276" w:hanging="425"/>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k.  Terbatasnya Pelaku Usaha yang berorientasi ekspor dan memiliki kemampuan mengakses informasi pasar. </w:t>
      </w:r>
    </w:p>
    <w:p>
      <w:pPr>
        <w:tabs>
          <w:tab w:val="left" w:pos="1276"/>
        </w:tabs>
        <w:autoSpaceDE w:val="0"/>
        <w:autoSpaceDN w:val="0"/>
        <w:adjustRightInd w:val="0"/>
        <w:spacing w:after="0" w:line="360" w:lineRule="auto"/>
        <w:ind w:left="1134" w:hanging="283"/>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l. </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  Belum maksimalnya penataan dan pembinaan pedagang. </w:t>
      </w:r>
    </w:p>
    <w:p>
      <w:pPr>
        <w:tabs>
          <w:tab w:val="left" w:pos="1276"/>
        </w:tabs>
        <w:autoSpaceDE w:val="0"/>
        <w:autoSpaceDN w:val="0"/>
        <w:adjustRightInd w:val="0"/>
        <w:spacing w:after="0" w:line="360" w:lineRule="auto"/>
        <w:ind w:left="1276" w:hanging="425"/>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n.</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Belum maksimalnya pemasaran produk dan komoditi unggulan.</w:t>
      </w:r>
    </w:p>
    <w:p>
      <w:pPr>
        <w:tabs>
          <w:tab w:val="left" w:pos="1276"/>
        </w:tabs>
        <w:autoSpaceDE w:val="0"/>
        <w:autoSpaceDN w:val="0"/>
        <w:adjustRightInd w:val="0"/>
        <w:spacing w:after="0" w:line="360" w:lineRule="auto"/>
        <w:ind w:left="1276" w:hanging="425"/>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o. </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Masih terbatasnya sarana dan prasarana resi gudang </w:t>
      </w:r>
    </w:p>
    <w:p>
      <w:pPr>
        <w:tabs>
          <w:tab w:val="left" w:pos="1276"/>
        </w:tabs>
        <w:autoSpaceDE w:val="0"/>
        <w:autoSpaceDN w:val="0"/>
        <w:adjustRightInd w:val="0"/>
        <w:spacing w:after="0" w:line="360" w:lineRule="auto"/>
        <w:ind w:left="1276" w:hanging="425"/>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 </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Belum adanya kantor UPTD kemetrologian sebagai tempat penyimpanan peralatan tera</w:t>
      </w: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autoSpaceDE w:val="0"/>
        <w:autoSpaceDN w:val="0"/>
        <w:adjustRightInd w:val="0"/>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BAB III </w:t>
      </w:r>
    </w:p>
    <w:p>
      <w:pPr>
        <w:spacing w:after="0" w:line="36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PERMASALAHAN DAN ISU STRATEGIS DINAS  PERDAGAGAN, KOPERASI, DAN USAHA KECIL DAN MENENGAH</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spacing w:after="0" w:line="36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w:t>
      </w:r>
    </w:p>
    <w:p>
      <w:pPr>
        <w:numPr>
          <w:ilvl w:val="1"/>
          <w:numId w:val="7"/>
        </w:numPr>
        <w:spacing w:after="0" w:line="360" w:lineRule="auto"/>
        <w:ind w:left="709" w:hanging="709"/>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Identifikasi Permasalahan Berdasarkan Tugas dan Fungsi Pelayanan Dinas </w:t>
      </w:r>
      <w:r>
        <w:rPr>
          <w:rFonts w:ascii="Bookman Old Style" w:hAnsi="Bookman Old Style" w:eastAsia="Times New Roman" w:cs="Tahoma"/>
          <w:b/>
          <w:bCs/>
          <w:color w:val="000000" w:themeColor="text1"/>
          <w:sz w:val="24"/>
          <w:szCs w:val="24"/>
          <w14:textFill>
            <w14:solidFill>
              <w14:schemeClr w14:val="tx1"/>
            </w14:solidFill>
          </w14:textFill>
        </w:rPr>
        <w:t xml:space="preserve"> Perdagangan, Koperasidan   Usaha Kecil dan Menengah</w:t>
      </w:r>
    </w:p>
    <w:p>
      <w:pPr>
        <w:spacing w:after="0" w:line="360" w:lineRule="auto"/>
        <w:ind w:left="709" w:firstLine="1134"/>
        <w:contextualSpacing/>
        <w:jc w:val="both"/>
        <w:rPr>
          <w:rFonts w:ascii="Bookman Old Style" w:hAnsi="Bookman Old Style" w:eastAsia="Times New Roman" w:cs="Tahoma"/>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0"/>
          <w14:textFill>
            <w14:solidFill>
              <w14:schemeClr w14:val="tx1"/>
            </w14:solidFill>
          </w14:textFill>
        </w:rPr>
        <w:t xml:space="preserve">Dinas Perdagangan, Koperasi Usaha Kecil dan Menengah dalam mengemban Tugas Pokok dan Fungsinya senantiasa dipengaruhi oleh lingkungan yang bersifat Strategis, yakni kondisi, situasi, keadaan, peristiwa dan pengaruh-pengaruh yang mengelilingi dan mempengaruhi perkembangan pencapaian tujuan dan sasaran organisasi. </w:t>
      </w:r>
    </w:p>
    <w:p>
      <w:pPr>
        <w:spacing w:after="0" w:line="360" w:lineRule="auto"/>
        <w:ind w:left="709" w:firstLine="992"/>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Identifikasi permasalahan Dinas </w:t>
      </w:r>
      <w:r>
        <w:rPr>
          <w:rFonts w:ascii="Bookman Old Style" w:hAnsi="Bookman Old Style" w:eastAsia="Times New Roman" w:cs="Tahoma"/>
          <w:bCs/>
          <w:color w:val="000000" w:themeColor="text1"/>
          <w:sz w:val="24"/>
          <w:szCs w:val="24"/>
          <w14:textFill>
            <w14:solidFill>
              <w14:schemeClr w14:val="tx1"/>
            </w14:solidFill>
          </w14:textFill>
        </w:rPr>
        <w:t>Perdagangan, Koperasi dan Usaha Kecil dan Menengah</w:t>
      </w:r>
      <w:r>
        <w:rPr>
          <w:rFonts w:ascii="Bookman Old Style" w:hAnsi="Bookman Old Style" w:eastAsia="Times New Roman" w:cs="Tahoma"/>
          <w:color w:val="000000" w:themeColor="text1"/>
          <w:sz w:val="24"/>
          <w:szCs w:val="24"/>
          <w14:textFill>
            <w14:solidFill>
              <w14:schemeClr w14:val="tx1"/>
            </w14:solidFill>
          </w14:textFill>
        </w:rPr>
        <w:t xml:space="preserve"> Kabupaten Kepulauan Selayar berdasarkan Tugas dan Fungsi dapat dilihat pada tabel 3.1.1  adalah sebagai berikut :  </w:t>
      </w:r>
    </w:p>
    <w:p>
      <w:pPr>
        <w:spacing w:after="0" w:line="360" w:lineRule="auto"/>
        <w:ind w:left="709" w:firstLine="992"/>
        <w:contextualSpacing/>
        <w:jc w:val="both"/>
        <w:rPr>
          <w:rFonts w:ascii="Bookman Old Style" w:hAnsi="Bookman Old Style" w:eastAsia="Times New Roman" w:cs="Tahoma"/>
          <w:color w:val="000000" w:themeColor="text1"/>
          <w:sz w:val="24"/>
          <w:szCs w:val="24"/>
          <w14:textFill>
            <w14:solidFill>
              <w14:schemeClr w14:val="tx1"/>
            </w14:solidFill>
          </w14:textFill>
        </w:rPr>
      </w:pPr>
    </w:p>
    <w:tbl>
      <w:tblPr>
        <w:tblStyle w:val="4"/>
        <w:tblW w:w="8789" w:type="dxa"/>
        <w:tblInd w:w="817" w:type="dxa"/>
        <w:tblLayout w:type="autofit"/>
        <w:tblCellMar>
          <w:top w:w="0" w:type="dxa"/>
          <w:left w:w="108" w:type="dxa"/>
          <w:bottom w:w="0" w:type="dxa"/>
          <w:right w:w="108" w:type="dxa"/>
        </w:tblCellMar>
      </w:tblPr>
      <w:tblGrid>
        <w:gridCol w:w="434"/>
        <w:gridCol w:w="2685"/>
        <w:gridCol w:w="141"/>
        <w:gridCol w:w="2268"/>
        <w:gridCol w:w="142"/>
        <w:gridCol w:w="3119"/>
      </w:tblGrid>
      <w:tr>
        <w:tblPrEx>
          <w:tblCellMar>
            <w:top w:w="0" w:type="dxa"/>
            <w:left w:w="108" w:type="dxa"/>
            <w:bottom w:w="0" w:type="dxa"/>
            <w:right w:w="108" w:type="dxa"/>
          </w:tblCellMar>
        </w:tblPrEx>
        <w:trPr>
          <w:trHeight w:val="225" w:hRule="atLeast"/>
        </w:trPr>
        <w:tc>
          <w:tcPr>
            <w:tcW w:w="434" w:type="dxa"/>
            <w:vMerge w:val="restart"/>
            <w:tcBorders>
              <w:top w:val="double" w:color="auto" w:sz="6" w:space="0"/>
              <w:left w:val="double" w:color="auto" w:sz="6"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Tahoma"/>
                <w:b/>
                <w:bCs/>
                <w:color w:val="000000" w:themeColor="text1"/>
                <w:sz w:val="24"/>
                <w:szCs w:val="24"/>
                <w14:textFill>
                  <w14:solidFill>
                    <w14:schemeClr w14:val="tx1"/>
                  </w14:solidFill>
                </w14:textFill>
              </w:rPr>
              <w:t xml:space="preserve"> </w:t>
            </w:r>
            <w:r>
              <w:rPr>
                <w:rFonts w:ascii="Bookman Old Style" w:hAnsi="Bookman Old Style" w:eastAsia="Times New Roman" w:cs="Calibri"/>
                <w:b/>
                <w:bCs/>
                <w:color w:val="000000"/>
                <w:sz w:val="16"/>
                <w:szCs w:val="16"/>
              </w:rPr>
              <w:t>No</w:t>
            </w:r>
          </w:p>
        </w:tc>
        <w:tc>
          <w:tcPr>
            <w:tcW w:w="2826" w:type="dxa"/>
            <w:gridSpan w:val="2"/>
            <w:vMerge w:val="restart"/>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 Pokok</w:t>
            </w:r>
          </w:p>
        </w:tc>
        <w:tc>
          <w:tcPr>
            <w:tcW w:w="2410" w:type="dxa"/>
            <w:gridSpan w:val="2"/>
            <w:vMerge w:val="restart"/>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w:t>
            </w:r>
          </w:p>
        </w:tc>
        <w:tc>
          <w:tcPr>
            <w:tcW w:w="3119" w:type="dxa"/>
            <w:vMerge w:val="restart"/>
            <w:tcBorders>
              <w:top w:val="double" w:color="auto" w:sz="6" w:space="0"/>
              <w:left w:val="single" w:color="auto" w:sz="4" w:space="0"/>
              <w:bottom w:val="single" w:color="000000" w:sz="4" w:space="0"/>
              <w:right w:val="double" w:color="auto" w:sz="6"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Akar Masalah</w:t>
            </w:r>
          </w:p>
        </w:tc>
      </w:tr>
      <w:tr>
        <w:tblPrEx>
          <w:tblCellMar>
            <w:top w:w="0" w:type="dxa"/>
            <w:left w:w="108" w:type="dxa"/>
            <w:bottom w:w="0" w:type="dxa"/>
            <w:right w:w="108" w:type="dxa"/>
          </w:tblCellMar>
        </w:tblPrEx>
        <w:trPr>
          <w:trHeight w:val="188" w:hRule="atLeast"/>
        </w:trPr>
        <w:tc>
          <w:tcPr>
            <w:tcW w:w="434" w:type="dxa"/>
            <w:vMerge w:val="continue"/>
            <w:tcBorders>
              <w:top w:val="double" w:color="auto" w:sz="6" w:space="0"/>
              <w:left w:val="double" w:color="auto" w:sz="6"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826" w:type="dxa"/>
            <w:gridSpan w:val="2"/>
            <w:vMerge w:val="continue"/>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410" w:type="dxa"/>
            <w:gridSpan w:val="2"/>
            <w:vMerge w:val="continue"/>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3119" w:type="dxa"/>
            <w:vMerge w:val="continue"/>
            <w:tcBorders>
              <w:top w:val="double" w:color="auto" w:sz="6" w:space="0"/>
              <w:left w:val="single" w:color="auto" w:sz="4" w:space="0"/>
              <w:bottom w:val="single" w:color="000000" w:sz="4" w:space="0"/>
              <w:right w:val="double" w:color="auto" w:sz="6"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r>
      <w:tr>
        <w:tblPrEx>
          <w:tblCellMar>
            <w:top w:w="0" w:type="dxa"/>
            <w:left w:w="108" w:type="dxa"/>
            <w:bottom w:w="0" w:type="dxa"/>
            <w:right w:w="108" w:type="dxa"/>
          </w:tblCellMar>
        </w:tblPrEx>
        <w:trPr>
          <w:trHeight w:val="240" w:hRule="atLeast"/>
        </w:trPr>
        <w:tc>
          <w:tcPr>
            <w:tcW w:w="434" w:type="dxa"/>
            <w:tcBorders>
              <w:top w:val="nil"/>
              <w:left w:val="double" w:color="auto" w:sz="6" w:space="0"/>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(1)</w:t>
            </w:r>
          </w:p>
        </w:tc>
        <w:tc>
          <w:tcPr>
            <w:tcW w:w="2826" w:type="dxa"/>
            <w:gridSpan w:val="2"/>
            <w:tcBorders>
              <w:top w:val="nil"/>
              <w:left w:val="nil"/>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(2)</w:t>
            </w:r>
          </w:p>
        </w:tc>
        <w:tc>
          <w:tcPr>
            <w:tcW w:w="2410" w:type="dxa"/>
            <w:gridSpan w:val="2"/>
            <w:tcBorders>
              <w:top w:val="nil"/>
              <w:left w:val="nil"/>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(3)</w:t>
            </w:r>
          </w:p>
        </w:tc>
        <w:tc>
          <w:tcPr>
            <w:tcW w:w="3119" w:type="dxa"/>
            <w:tcBorders>
              <w:top w:val="nil"/>
              <w:left w:val="double" w:color="auto" w:sz="6" w:space="0"/>
              <w:bottom w:val="double" w:color="auto" w:sz="6" w:space="0"/>
              <w:right w:val="double" w:color="auto" w:sz="6"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(4)</w:t>
            </w:r>
          </w:p>
        </w:tc>
      </w:tr>
      <w:tr>
        <w:tblPrEx>
          <w:tblCellMar>
            <w:top w:w="0" w:type="dxa"/>
            <w:left w:w="108" w:type="dxa"/>
            <w:bottom w:w="0" w:type="dxa"/>
            <w:right w:w="108" w:type="dxa"/>
          </w:tblCellMar>
        </w:tblPrEx>
        <w:trPr>
          <w:trHeight w:val="278" w:hRule="atLeast"/>
        </w:trPr>
        <w:tc>
          <w:tcPr>
            <w:tcW w:w="8789" w:type="dxa"/>
            <w:gridSpan w:val="6"/>
            <w:tcBorders>
              <w:top w:val="double" w:color="auto" w:sz="6" w:space="0"/>
              <w:left w:val="double" w:color="auto" w:sz="6" w:space="0"/>
              <w:bottom w:val="single" w:color="auto" w:sz="4" w:space="0"/>
              <w:right w:val="double" w:color="000000" w:sz="6" w:space="0"/>
            </w:tcBorders>
            <w:shd w:val="clear" w:color="auto" w:fill="auto"/>
            <w:noWrap/>
            <w:vAlign w:val="center"/>
          </w:tcPr>
          <w:p>
            <w:pPr>
              <w:spacing w:after="0" w:line="240" w:lineRule="auto"/>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 xml:space="preserve">        Urusan Koperasi dan UKM</w:t>
            </w:r>
          </w:p>
        </w:tc>
      </w:tr>
      <w:tr>
        <w:tblPrEx>
          <w:tblCellMar>
            <w:top w:w="0" w:type="dxa"/>
            <w:left w:w="108" w:type="dxa"/>
            <w:bottom w:w="0" w:type="dxa"/>
            <w:right w:w="108" w:type="dxa"/>
          </w:tblCellMar>
        </w:tblPrEx>
        <w:trPr>
          <w:trHeight w:val="954"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w:t>
            </w:r>
          </w:p>
        </w:tc>
        <w:tc>
          <w:tcPr>
            <w:tcW w:w="2685"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SDM kader koperasi untuk melakukan pembinaan kepada kelompok masyarakat masih rendah</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Rendahnya tingkat pendidikan kader koperasi yang relatif tua dan menyebabkan kesulitan mengadopsi IPTEK</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umur dan tingkat pendidikan pelaku usaha</w:t>
            </w:r>
          </w:p>
        </w:tc>
      </w:tr>
      <w:tr>
        <w:tblPrEx>
          <w:tblCellMar>
            <w:top w:w="0" w:type="dxa"/>
            <w:left w:w="108" w:type="dxa"/>
            <w:bottom w:w="0" w:type="dxa"/>
            <w:right w:w="108" w:type="dxa"/>
          </w:tblCellMar>
        </w:tblPrEx>
        <w:trPr>
          <w:trHeight w:val="71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keterbatasan petugas yang ada menyebabkan kurang optimalnya pelaksanaan pemberdayaan KUKM </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formasi petugas jauh dari kebutuhan</w:t>
            </w:r>
          </w:p>
        </w:tc>
      </w:tr>
      <w:tr>
        <w:tblPrEx>
          <w:tblCellMar>
            <w:top w:w="0" w:type="dxa"/>
            <w:left w:w="108" w:type="dxa"/>
            <w:bottom w:w="0" w:type="dxa"/>
            <w:right w:w="108" w:type="dxa"/>
          </w:tblCellMar>
        </w:tblPrEx>
        <w:trPr>
          <w:trHeight w:val="85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w:t>
            </w:r>
          </w:p>
        </w:tc>
        <w:tc>
          <w:tcPr>
            <w:tcW w:w="2685" w:type="dxa"/>
            <w:tcBorders>
              <w:top w:val="nil"/>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Peningkatan nilai tambah hasil pertanian, peternakan, dan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 xml:space="preserve">perikanan; dan pengembangan UMK yang prolingkungan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(green economy);</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rendahnya pertumbuhan UMK yang aktif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berproduksi</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rendahnya pertumbuhan usaha mikro baru</w:t>
            </w:r>
          </w:p>
        </w:tc>
      </w:tr>
      <w:tr>
        <w:tblPrEx>
          <w:tblCellMar>
            <w:top w:w="0" w:type="dxa"/>
            <w:left w:w="108" w:type="dxa"/>
            <w:bottom w:w="0" w:type="dxa"/>
            <w:right w:w="108" w:type="dxa"/>
          </w:tblCellMar>
        </w:tblPrEx>
        <w:trPr>
          <w:trHeight w:val="55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rendahnya koperasi yang aktif dan sehat</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rendahnya peningkatan skala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 xml:space="preserve">usaha bagi usaha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mikro.</w:t>
            </w:r>
          </w:p>
        </w:tc>
      </w:tr>
      <w:tr>
        <w:tblPrEx>
          <w:tblCellMar>
            <w:top w:w="0" w:type="dxa"/>
            <w:left w:w="108" w:type="dxa"/>
            <w:bottom w:w="0" w:type="dxa"/>
            <w:right w:w="108" w:type="dxa"/>
          </w:tblCellMar>
        </w:tblPrEx>
        <w:trPr>
          <w:trHeight w:val="70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kurangnya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 xml:space="preserve">peningkatan kelompok usaha bersama (KUB)/klaster skala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usaha mikro</w:t>
            </w:r>
          </w:p>
        </w:tc>
      </w:tr>
      <w:tr>
        <w:tblPrEx>
          <w:tblCellMar>
            <w:top w:w="0" w:type="dxa"/>
            <w:left w:w="108" w:type="dxa"/>
            <w:bottom w:w="0" w:type="dxa"/>
            <w:right w:w="108" w:type="dxa"/>
          </w:tblCellMar>
        </w:tblPrEx>
        <w:trPr>
          <w:trHeight w:val="359"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261" w:type="dxa"/>
            <w:gridSpan w:val="2"/>
            <w:tcBorders>
              <w:top w:val="nil"/>
              <w:left w:val="nil"/>
              <w:bottom w:val="single" w:color="auto" w:sz="4" w:space="0"/>
              <w:right w:val="double" w:color="auto" w:sz="6" w:space="0"/>
            </w:tcBorders>
            <w:shd w:val="clear" w:color="auto" w:fill="auto"/>
            <w:vAlign w:val="center"/>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kurangnya jejaring usaha oleh KUB klaster usaha mikro</w:t>
            </w:r>
          </w:p>
        </w:tc>
      </w:tr>
      <w:tr>
        <w:tblPrEx>
          <w:tblCellMar>
            <w:top w:w="0" w:type="dxa"/>
            <w:left w:w="108" w:type="dxa"/>
            <w:bottom w:w="0" w:type="dxa"/>
            <w:right w:w="108" w:type="dxa"/>
          </w:tblCellMar>
        </w:tblPrEx>
        <w:trPr>
          <w:trHeight w:val="39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rendahnya koperasi yang aktif dan sehat</w:t>
            </w:r>
          </w:p>
        </w:tc>
        <w:tc>
          <w:tcPr>
            <w:tcW w:w="3261" w:type="dxa"/>
            <w:gridSpan w:val="2"/>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rendahnya manajemen koperasi</w:t>
            </w:r>
          </w:p>
        </w:tc>
      </w:tr>
      <w:tr>
        <w:tblPrEx>
          <w:tblCellMar>
            <w:top w:w="0" w:type="dxa"/>
            <w:left w:w="108" w:type="dxa"/>
            <w:bottom w:w="0" w:type="dxa"/>
            <w:right w:w="108" w:type="dxa"/>
          </w:tblCellMar>
        </w:tblPrEx>
        <w:trPr>
          <w:trHeight w:val="569" w:hRule="atLeast"/>
        </w:trPr>
        <w:tc>
          <w:tcPr>
            <w:tcW w:w="434" w:type="dxa"/>
            <w:tcBorders>
              <w:top w:val="nil"/>
              <w:left w:val="double" w:color="auto" w:sz="6"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nil"/>
              <w:left w:val="nil"/>
              <w:bottom w:val="nil"/>
              <w:right w:val="single" w:color="auto" w:sz="4" w:space="0"/>
            </w:tcBorders>
            <w:shd w:val="clear" w:color="auto" w:fill="auto"/>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261" w:type="dxa"/>
            <w:gridSpan w:val="2"/>
            <w:tcBorders>
              <w:top w:val="nil"/>
              <w:left w:val="nil"/>
              <w:bottom w:val="nil"/>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Belum semua Koperasi di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Kabupaten Kepulauan Selayar yang berkinerja baik</w:t>
            </w:r>
          </w:p>
        </w:tc>
      </w:tr>
      <w:tr>
        <w:tblPrEx>
          <w:tblCellMar>
            <w:top w:w="0" w:type="dxa"/>
            <w:left w:w="108" w:type="dxa"/>
            <w:bottom w:w="0" w:type="dxa"/>
            <w:right w:w="108" w:type="dxa"/>
          </w:tblCellMar>
        </w:tblPrEx>
        <w:trPr>
          <w:trHeight w:val="775" w:hRule="atLeast"/>
        </w:trPr>
        <w:tc>
          <w:tcPr>
            <w:tcW w:w="434" w:type="dxa"/>
            <w:tcBorders>
              <w:top w:val="single" w:color="auto" w:sz="4" w:space="0"/>
              <w:left w:val="double" w:color="auto" w:sz="6"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3</w:t>
            </w:r>
          </w:p>
        </w:tc>
        <w:tc>
          <w:tcPr>
            <w:tcW w:w="2685" w:type="dxa"/>
            <w:tcBorders>
              <w:top w:val="single" w:color="auto" w:sz="4" w:space="0"/>
              <w:left w:val="nil"/>
              <w:bottom w:val="nil"/>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Akses pelaku usaha Koperasi terhadap layanan perbankan relatif rendah</w:t>
            </w:r>
          </w:p>
        </w:tc>
        <w:tc>
          <w:tcPr>
            <w:tcW w:w="2409" w:type="dxa"/>
            <w:gridSpan w:val="2"/>
            <w:tcBorders>
              <w:top w:val="single" w:color="auto" w:sz="4" w:space="0"/>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banyak Koperasi dan KUKM yang memerlukan bantuan fasilitas dalam mengembangkan usahanya</w:t>
            </w:r>
          </w:p>
        </w:tc>
        <w:tc>
          <w:tcPr>
            <w:tcW w:w="3261" w:type="dxa"/>
            <w:gridSpan w:val="2"/>
            <w:tcBorders>
              <w:top w:val="single" w:color="auto" w:sz="4" w:space="0"/>
              <w:left w:val="nil"/>
              <w:bottom w:val="nil"/>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banyak yang tidak memiliki identitas ( ktp )</w:t>
            </w:r>
          </w:p>
        </w:tc>
      </w:tr>
      <w:tr>
        <w:tblPrEx>
          <w:tblCellMar>
            <w:top w:w="0" w:type="dxa"/>
            <w:left w:w="108" w:type="dxa"/>
            <w:bottom w:w="0" w:type="dxa"/>
            <w:right w:w="108" w:type="dxa"/>
          </w:tblCellMar>
        </w:tblPrEx>
        <w:trPr>
          <w:trHeight w:val="605" w:hRule="atLeast"/>
        </w:trPr>
        <w:tc>
          <w:tcPr>
            <w:tcW w:w="434" w:type="dxa"/>
            <w:tcBorders>
              <w:top w:val="single" w:color="auto" w:sz="4" w:space="0"/>
              <w:left w:val="double" w:color="auto" w:sz="6" w:space="0"/>
              <w:bottom w:val="double" w:color="auto" w:sz="6"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85" w:type="dxa"/>
            <w:tcBorders>
              <w:top w:val="single" w:color="auto" w:sz="4" w:space="0"/>
              <w:left w:val="nil"/>
              <w:bottom w:val="double" w:color="auto" w:sz="6" w:space="0"/>
              <w:right w:val="single" w:color="auto" w:sz="4" w:space="0"/>
            </w:tcBorders>
            <w:shd w:val="clear" w:color="auto" w:fill="auto"/>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409" w:type="dxa"/>
            <w:gridSpan w:val="2"/>
            <w:tcBorders>
              <w:top w:val="single" w:color="auto" w:sz="4" w:space="0"/>
              <w:left w:val="nil"/>
              <w:bottom w:val="double" w:color="auto" w:sz="6"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261" w:type="dxa"/>
            <w:gridSpan w:val="2"/>
            <w:tcBorders>
              <w:top w:val="single" w:color="auto" w:sz="4" w:space="0"/>
              <w:left w:val="nil"/>
              <w:bottom w:val="double" w:color="auto" w:sz="6"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Kepala desa dan lurah kurang merespon untuk memfasilitasi warganya</w:t>
            </w:r>
          </w:p>
        </w:tc>
      </w:tr>
    </w:tbl>
    <w:p>
      <w:pPr>
        <w:tabs>
          <w:tab w:val="left" w:pos="1701"/>
        </w:tabs>
        <w:autoSpaceDE w:val="0"/>
        <w:autoSpaceDN w:val="0"/>
        <w:adjustRightInd w:val="0"/>
        <w:spacing w:before="240" w:after="0" w:line="240" w:lineRule="auto"/>
        <w:jc w:val="both"/>
        <w:rPr>
          <w:rFonts w:ascii="Bookman Old Style" w:hAnsi="Bookman Old Style" w:eastAsia="Times New Roman" w:cs="Tahoma"/>
          <w:b/>
          <w:bCs/>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240" w:lineRule="auto"/>
        <w:jc w:val="both"/>
        <w:rPr>
          <w:rFonts w:ascii="Bookman Old Style" w:hAnsi="Bookman Old Style" w:eastAsia="Times New Roman" w:cs="Tahoma"/>
          <w:b/>
          <w:bCs/>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240" w:lineRule="auto"/>
        <w:jc w:val="both"/>
        <w:rPr>
          <w:rFonts w:ascii="Bookman Old Style" w:hAnsi="Bookman Old Style" w:eastAsia="Times New Roman" w:cs="Tahoma"/>
          <w:b/>
          <w:bCs/>
          <w:color w:val="000000" w:themeColor="text1"/>
          <w:sz w:val="24"/>
          <w:szCs w:val="24"/>
          <w14:textFill>
            <w14:solidFill>
              <w14:schemeClr w14:val="tx1"/>
            </w14:solidFill>
          </w14:textFill>
        </w:rPr>
      </w:pPr>
    </w:p>
    <w:tbl>
      <w:tblPr>
        <w:tblStyle w:val="4"/>
        <w:tblW w:w="8860" w:type="dxa"/>
        <w:tblInd w:w="675" w:type="dxa"/>
        <w:tblLayout w:type="autofit"/>
        <w:tblCellMar>
          <w:top w:w="0" w:type="dxa"/>
          <w:left w:w="108" w:type="dxa"/>
          <w:bottom w:w="0" w:type="dxa"/>
          <w:right w:w="108" w:type="dxa"/>
        </w:tblCellMar>
      </w:tblPr>
      <w:tblGrid>
        <w:gridCol w:w="434"/>
        <w:gridCol w:w="2827"/>
        <w:gridCol w:w="2693"/>
        <w:gridCol w:w="2906"/>
      </w:tblGrid>
      <w:tr>
        <w:tblPrEx>
          <w:tblCellMar>
            <w:top w:w="0" w:type="dxa"/>
            <w:left w:w="108" w:type="dxa"/>
            <w:bottom w:w="0" w:type="dxa"/>
            <w:right w:w="108" w:type="dxa"/>
          </w:tblCellMar>
        </w:tblPrEx>
        <w:trPr>
          <w:trHeight w:val="270" w:hRule="atLeast"/>
        </w:trPr>
        <w:tc>
          <w:tcPr>
            <w:tcW w:w="434" w:type="dxa"/>
            <w:vMerge w:val="restart"/>
            <w:tcBorders>
              <w:top w:val="double" w:color="auto" w:sz="6" w:space="0"/>
              <w:left w:val="double" w:color="auto" w:sz="6"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No</w:t>
            </w:r>
          </w:p>
        </w:tc>
        <w:tc>
          <w:tcPr>
            <w:tcW w:w="2827" w:type="dxa"/>
            <w:vMerge w:val="restart"/>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 Pokok</w:t>
            </w:r>
          </w:p>
        </w:tc>
        <w:tc>
          <w:tcPr>
            <w:tcW w:w="2693" w:type="dxa"/>
            <w:vMerge w:val="restart"/>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w:t>
            </w:r>
          </w:p>
        </w:tc>
        <w:tc>
          <w:tcPr>
            <w:tcW w:w="2906" w:type="dxa"/>
            <w:vMerge w:val="restart"/>
            <w:tcBorders>
              <w:top w:val="double" w:color="auto" w:sz="6" w:space="0"/>
              <w:left w:val="single" w:color="auto" w:sz="4" w:space="0"/>
              <w:bottom w:val="single" w:color="000000" w:sz="4" w:space="0"/>
              <w:right w:val="double" w:color="auto" w:sz="6"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Akar Masalah</w:t>
            </w:r>
          </w:p>
        </w:tc>
      </w:tr>
      <w:tr>
        <w:tblPrEx>
          <w:tblCellMar>
            <w:top w:w="0" w:type="dxa"/>
            <w:left w:w="108" w:type="dxa"/>
            <w:bottom w:w="0" w:type="dxa"/>
            <w:right w:w="108" w:type="dxa"/>
          </w:tblCellMar>
        </w:tblPrEx>
        <w:trPr>
          <w:trHeight w:val="255" w:hRule="atLeast"/>
        </w:trPr>
        <w:tc>
          <w:tcPr>
            <w:tcW w:w="434" w:type="dxa"/>
            <w:vMerge w:val="continue"/>
            <w:tcBorders>
              <w:top w:val="double" w:color="auto" w:sz="6" w:space="0"/>
              <w:left w:val="double" w:color="auto" w:sz="6"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827" w:type="dxa"/>
            <w:vMerge w:val="continue"/>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693" w:type="dxa"/>
            <w:vMerge w:val="continue"/>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906" w:type="dxa"/>
            <w:vMerge w:val="continue"/>
            <w:tcBorders>
              <w:top w:val="double" w:color="auto" w:sz="6" w:space="0"/>
              <w:left w:val="single" w:color="auto" w:sz="4" w:space="0"/>
              <w:bottom w:val="single" w:color="000000" w:sz="4" w:space="0"/>
              <w:right w:val="double" w:color="auto" w:sz="6"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r>
      <w:tr>
        <w:tblPrEx>
          <w:tblCellMar>
            <w:top w:w="0" w:type="dxa"/>
            <w:left w:w="108" w:type="dxa"/>
            <w:bottom w:w="0" w:type="dxa"/>
            <w:right w:w="108" w:type="dxa"/>
          </w:tblCellMar>
        </w:tblPrEx>
        <w:trPr>
          <w:trHeight w:val="270" w:hRule="atLeast"/>
        </w:trPr>
        <w:tc>
          <w:tcPr>
            <w:tcW w:w="434" w:type="dxa"/>
            <w:tcBorders>
              <w:top w:val="nil"/>
              <w:left w:val="double" w:color="auto" w:sz="6" w:space="0"/>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(1)</w:t>
            </w:r>
          </w:p>
        </w:tc>
        <w:tc>
          <w:tcPr>
            <w:tcW w:w="2827" w:type="dxa"/>
            <w:tcBorders>
              <w:top w:val="nil"/>
              <w:left w:val="nil"/>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(2)</w:t>
            </w:r>
          </w:p>
        </w:tc>
        <w:tc>
          <w:tcPr>
            <w:tcW w:w="2693" w:type="dxa"/>
            <w:tcBorders>
              <w:top w:val="nil"/>
              <w:left w:val="nil"/>
              <w:bottom w:val="double" w:color="auto" w:sz="6"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(3)</w:t>
            </w:r>
          </w:p>
        </w:tc>
        <w:tc>
          <w:tcPr>
            <w:tcW w:w="2906" w:type="dxa"/>
            <w:tcBorders>
              <w:top w:val="nil"/>
              <w:left w:val="double" w:color="auto" w:sz="6" w:space="0"/>
              <w:bottom w:val="double" w:color="auto" w:sz="6" w:space="0"/>
              <w:right w:val="double" w:color="auto" w:sz="6"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(4)</w:t>
            </w:r>
          </w:p>
        </w:tc>
      </w:tr>
      <w:tr>
        <w:tblPrEx>
          <w:tblCellMar>
            <w:top w:w="0" w:type="dxa"/>
            <w:left w:w="108" w:type="dxa"/>
            <w:bottom w:w="0" w:type="dxa"/>
            <w:right w:w="108" w:type="dxa"/>
          </w:tblCellMar>
        </w:tblPrEx>
        <w:trPr>
          <w:trHeight w:val="270" w:hRule="atLeast"/>
        </w:trPr>
        <w:tc>
          <w:tcPr>
            <w:tcW w:w="8860" w:type="dxa"/>
            <w:gridSpan w:val="4"/>
            <w:tcBorders>
              <w:top w:val="double" w:color="auto" w:sz="6" w:space="0"/>
              <w:left w:val="double" w:color="auto" w:sz="6" w:space="0"/>
              <w:bottom w:val="single" w:color="auto" w:sz="4" w:space="0"/>
              <w:right w:val="double" w:color="000000" w:sz="6" w:space="0"/>
            </w:tcBorders>
            <w:shd w:val="clear" w:color="auto" w:fill="auto"/>
            <w:noWrap/>
            <w:vAlign w:val="center"/>
          </w:tcPr>
          <w:p>
            <w:pPr>
              <w:spacing w:after="0" w:line="240" w:lineRule="auto"/>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 xml:space="preserve">        Urusan Koperasi dan UKM</w:t>
            </w:r>
          </w:p>
        </w:tc>
      </w:tr>
      <w:tr>
        <w:tblPrEx>
          <w:tblCellMar>
            <w:top w:w="0" w:type="dxa"/>
            <w:left w:w="108" w:type="dxa"/>
            <w:bottom w:w="0" w:type="dxa"/>
            <w:right w:w="108" w:type="dxa"/>
          </w:tblCellMar>
        </w:tblPrEx>
        <w:trPr>
          <w:trHeight w:val="41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4</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Pembuatan laporan keuangan akuntasi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Rendahnya tingkat pendidikan pelaku koperasi </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rendahnya pemahaman SDM pelaku koperasi</w:t>
            </w:r>
          </w:p>
        </w:tc>
      </w:tr>
      <w:tr>
        <w:tblPrEx>
          <w:tblCellMar>
            <w:top w:w="0" w:type="dxa"/>
            <w:left w:w="108" w:type="dxa"/>
            <w:bottom w:w="0" w:type="dxa"/>
            <w:right w:w="108" w:type="dxa"/>
          </w:tblCellMar>
        </w:tblPrEx>
        <w:trPr>
          <w:trHeight w:val="561"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5</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Kemasan produk dan pemasaran</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desain kemasan dan izin-izin produk serta belum adanya akses pasar</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modal dan sulitnya pengurusan izin-izin usaha</w:t>
            </w:r>
          </w:p>
        </w:tc>
      </w:tr>
      <w:tr>
        <w:tblPrEx>
          <w:tblCellMar>
            <w:top w:w="0" w:type="dxa"/>
            <w:left w:w="108" w:type="dxa"/>
            <w:bottom w:w="0" w:type="dxa"/>
            <w:right w:w="108" w:type="dxa"/>
          </w:tblCellMar>
        </w:tblPrEx>
        <w:trPr>
          <w:trHeight w:val="55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6</w:t>
            </w:r>
          </w:p>
        </w:tc>
        <w:tc>
          <w:tcPr>
            <w:tcW w:w="2827" w:type="dxa"/>
            <w:tcBorders>
              <w:top w:val="nil"/>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pendataan SIKP</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belum akuratnya data pelaku usaha</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belum adanya validasi data yang spesifik dan pembuatan aplikasi data</w:t>
            </w:r>
          </w:p>
        </w:tc>
      </w:tr>
      <w:tr>
        <w:tblPrEx>
          <w:tblCellMar>
            <w:top w:w="0" w:type="dxa"/>
            <w:left w:w="108" w:type="dxa"/>
            <w:bottom w:w="0" w:type="dxa"/>
            <w:right w:w="108" w:type="dxa"/>
          </w:tblCellMar>
        </w:tblPrEx>
        <w:trPr>
          <w:trHeight w:val="53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7</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dana bergulir koperasi (simpan pinjam) dan dana bergulir pinjaman modal</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banyak pelaku usaha belum melunasi pembayaran  dana bergulir</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pengurus koperasi menganggap dana itu dana hibah</w:t>
            </w:r>
          </w:p>
        </w:tc>
      </w:tr>
      <w:tr>
        <w:tblPrEx>
          <w:tblCellMar>
            <w:top w:w="0" w:type="dxa"/>
            <w:left w:w="108" w:type="dxa"/>
            <w:bottom w:w="0" w:type="dxa"/>
            <w:right w:w="108" w:type="dxa"/>
          </w:tblCellMar>
        </w:tblPrEx>
        <w:trPr>
          <w:trHeight w:val="401"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pengurusnya sudah ada yang meninggal</w:t>
            </w:r>
          </w:p>
        </w:tc>
      </w:tr>
      <w:tr>
        <w:tblPrEx>
          <w:tblCellMar>
            <w:top w:w="0" w:type="dxa"/>
            <w:left w:w="108" w:type="dxa"/>
            <w:bottom w:w="0" w:type="dxa"/>
            <w:right w:w="108" w:type="dxa"/>
          </w:tblCellMar>
        </w:tblPrEx>
        <w:trPr>
          <w:trHeight w:val="56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8</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pendataan dan pengembangan potensi desa</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minimnya pemahaman masyarakat tentang potensi unggulan desa</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kurangnya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pengetahuan dan bimbingan potensi unggulan desa</w:t>
            </w:r>
          </w:p>
        </w:tc>
      </w:tr>
      <w:tr>
        <w:tblPrEx>
          <w:tblCellMar>
            <w:top w:w="0" w:type="dxa"/>
            <w:left w:w="108" w:type="dxa"/>
            <w:bottom w:w="0" w:type="dxa"/>
            <w:right w:w="108" w:type="dxa"/>
          </w:tblCellMar>
        </w:tblPrEx>
        <w:trPr>
          <w:trHeight w:val="841"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9</w:t>
            </w:r>
          </w:p>
        </w:tc>
        <w:tc>
          <w:tcPr>
            <w:tcW w:w="2827"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bantuan BPUM</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banyak pelaku usaha yang belum mendapatkan bantuan</w:t>
            </w:r>
          </w:p>
        </w:tc>
        <w:tc>
          <w:tcPr>
            <w:tcW w:w="2906" w:type="dxa"/>
            <w:tcBorders>
              <w:top w:val="nil"/>
              <w:left w:val="nil"/>
              <w:bottom w:val="single" w:color="auto" w:sz="4" w:space="0"/>
              <w:right w:val="double" w:color="auto" w:sz="6"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belum memiliki Surat Keterangan Usaha (SKU) dan nomor induk berusaha (NIB) serta NIK yang tidak cocok</w:t>
            </w:r>
          </w:p>
        </w:tc>
      </w:tr>
    </w:tbl>
    <w:p>
      <w:pPr>
        <w:widowControl w:val="0"/>
        <w:autoSpaceDE w:val="0"/>
        <w:autoSpaceDN w:val="0"/>
        <w:spacing w:before="140" w:after="0" w:line="360" w:lineRule="auto"/>
        <w:ind w:right="162"/>
        <w:rPr>
          <w:rFonts w:ascii="Bookman Old Style" w:hAnsi="Bookman Old Style" w:eastAsia="Times New Roman" w:cs="Tahoma"/>
          <w:color w:val="000000" w:themeColor="text1"/>
          <w:sz w:val="14"/>
          <w:szCs w:val="24"/>
          <w14:textFill>
            <w14:solidFill>
              <w14:schemeClr w14:val="tx1"/>
            </w14:solidFill>
          </w14:textFill>
        </w:rPr>
      </w:pPr>
    </w:p>
    <w:tbl>
      <w:tblPr>
        <w:tblStyle w:val="4"/>
        <w:tblW w:w="9214" w:type="dxa"/>
        <w:tblInd w:w="392" w:type="dxa"/>
        <w:tblLayout w:type="autofit"/>
        <w:tblCellMar>
          <w:top w:w="0" w:type="dxa"/>
          <w:left w:w="108" w:type="dxa"/>
          <w:bottom w:w="0" w:type="dxa"/>
          <w:right w:w="108" w:type="dxa"/>
        </w:tblCellMar>
      </w:tblPr>
      <w:tblGrid>
        <w:gridCol w:w="434"/>
        <w:gridCol w:w="2543"/>
        <w:gridCol w:w="2693"/>
        <w:gridCol w:w="3544"/>
      </w:tblGrid>
      <w:tr>
        <w:tblPrEx>
          <w:tblCellMar>
            <w:top w:w="0" w:type="dxa"/>
            <w:left w:w="108" w:type="dxa"/>
            <w:bottom w:w="0" w:type="dxa"/>
            <w:right w:w="108" w:type="dxa"/>
          </w:tblCellMar>
        </w:tblPrEx>
        <w:trPr>
          <w:trHeight w:val="255" w:hRule="atLeast"/>
        </w:trPr>
        <w:tc>
          <w:tcPr>
            <w:tcW w:w="434"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No</w:t>
            </w:r>
          </w:p>
        </w:tc>
        <w:tc>
          <w:tcPr>
            <w:tcW w:w="2543"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 Pokok</w:t>
            </w:r>
          </w:p>
        </w:tc>
        <w:tc>
          <w:tcPr>
            <w:tcW w:w="2693"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Masalah</w:t>
            </w:r>
          </w:p>
        </w:tc>
        <w:tc>
          <w:tcPr>
            <w:tcW w:w="3544" w:type="dxa"/>
            <w:vMerge w:val="restart"/>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Akar Masalah</w:t>
            </w:r>
          </w:p>
        </w:tc>
      </w:tr>
      <w:tr>
        <w:tblPrEx>
          <w:tblCellMar>
            <w:top w:w="0" w:type="dxa"/>
            <w:left w:w="108" w:type="dxa"/>
            <w:bottom w:w="0" w:type="dxa"/>
            <w:right w:w="108" w:type="dxa"/>
          </w:tblCellMar>
        </w:tblPrEx>
        <w:trPr>
          <w:trHeight w:val="255" w:hRule="atLeast"/>
        </w:trPr>
        <w:tc>
          <w:tcPr>
            <w:tcW w:w="434" w:type="dxa"/>
            <w:vMerge w:val="continue"/>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543" w:type="dxa"/>
            <w:vMerge w:val="continue"/>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2693" w:type="dxa"/>
            <w:vMerge w:val="continue"/>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c>
          <w:tcPr>
            <w:tcW w:w="3544" w:type="dxa"/>
            <w:vMerge w:val="continue"/>
            <w:tcBorders>
              <w:top w:val="single" w:color="auto" w:sz="4" w:space="0"/>
              <w:left w:val="single" w:color="auto" w:sz="4" w:space="0"/>
              <w:bottom w:val="single" w:color="auto" w:sz="4" w:space="0"/>
              <w:right w:val="single" w:color="auto" w:sz="4" w:space="0"/>
            </w:tcBorders>
            <w:shd w:val="clear" w:color="auto" w:fill="E5B8B7"/>
            <w:vAlign w:val="center"/>
          </w:tcPr>
          <w:p>
            <w:pPr>
              <w:spacing w:after="0" w:line="240" w:lineRule="auto"/>
              <w:rPr>
                <w:rFonts w:ascii="Bookman Old Style" w:hAnsi="Bookman Old Style" w:eastAsia="Times New Roman" w:cs="Calibri"/>
                <w:b/>
                <w:bCs/>
                <w:color w:val="000000"/>
                <w:sz w:val="16"/>
                <w:szCs w:val="16"/>
              </w:rPr>
            </w:pPr>
          </w:p>
        </w:tc>
      </w:tr>
      <w:tr>
        <w:tblPrEx>
          <w:tblCellMar>
            <w:top w:w="0" w:type="dxa"/>
            <w:left w:w="108" w:type="dxa"/>
            <w:bottom w:w="0" w:type="dxa"/>
            <w:right w:w="108" w:type="dxa"/>
          </w:tblCellMar>
        </w:tblPrEx>
        <w:trPr>
          <w:trHeight w:val="255" w:hRule="atLeast"/>
        </w:trPr>
        <w:tc>
          <w:tcPr>
            <w:tcW w:w="434" w:type="dxa"/>
            <w:tcBorders>
              <w:top w:val="nil"/>
              <w:left w:val="single" w:color="auto" w:sz="4" w:space="0"/>
              <w:bottom w:val="single" w:color="auto" w:sz="4"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(1)</w:t>
            </w:r>
          </w:p>
        </w:tc>
        <w:tc>
          <w:tcPr>
            <w:tcW w:w="2543" w:type="dxa"/>
            <w:tcBorders>
              <w:top w:val="nil"/>
              <w:left w:val="nil"/>
              <w:bottom w:val="single" w:color="auto" w:sz="4"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(2)</w:t>
            </w:r>
          </w:p>
        </w:tc>
        <w:tc>
          <w:tcPr>
            <w:tcW w:w="2693" w:type="dxa"/>
            <w:tcBorders>
              <w:top w:val="nil"/>
              <w:left w:val="nil"/>
              <w:bottom w:val="single" w:color="auto" w:sz="4"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(3)</w:t>
            </w:r>
          </w:p>
        </w:tc>
        <w:tc>
          <w:tcPr>
            <w:tcW w:w="3544" w:type="dxa"/>
            <w:tcBorders>
              <w:top w:val="nil"/>
              <w:left w:val="nil"/>
              <w:bottom w:val="single" w:color="auto" w:sz="4" w:space="0"/>
              <w:right w:val="single" w:color="auto" w:sz="4" w:space="0"/>
            </w:tcBorders>
            <w:shd w:val="clear" w:color="auto" w:fill="D6E3BC"/>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(4)</w:t>
            </w:r>
          </w:p>
        </w:tc>
      </w:tr>
      <w:tr>
        <w:tblPrEx>
          <w:tblCellMar>
            <w:top w:w="0" w:type="dxa"/>
            <w:left w:w="108" w:type="dxa"/>
            <w:bottom w:w="0" w:type="dxa"/>
            <w:right w:w="108" w:type="dxa"/>
          </w:tblCellMar>
        </w:tblPrEx>
        <w:trPr>
          <w:trHeight w:val="255" w:hRule="atLeast"/>
        </w:trPr>
        <w:tc>
          <w:tcPr>
            <w:tcW w:w="9214" w:type="dxa"/>
            <w:gridSpan w:val="4"/>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 xml:space="preserve">        Urusan Perdagangan</w:t>
            </w:r>
          </w:p>
        </w:tc>
      </w:tr>
      <w:tr>
        <w:tblPrEx>
          <w:tblCellMar>
            <w:top w:w="0" w:type="dxa"/>
            <w:left w:w="108" w:type="dxa"/>
            <w:bottom w:w="0" w:type="dxa"/>
            <w:right w:w="108" w:type="dxa"/>
          </w:tblCellMar>
        </w:tblPrEx>
        <w:trPr>
          <w:trHeight w:val="838"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w:t>
            </w:r>
          </w:p>
        </w:tc>
        <w:tc>
          <w:tcPr>
            <w:tcW w:w="2543" w:type="dxa"/>
            <w:tcBorders>
              <w:top w:val="nil"/>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Percepatan pengembangan kawasan distribusi logistik di kawasan timur Indonesia khususnya di Kabupaten Kepulauan Selayar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Sinergitas peraturan pusat dan daerah terkait Ekspor bersih perdagangan</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Semua komoditi asal Selayar belum bisa berstatus ekspor asal selayar karena belum adanya Surat Keterangan Asal Barang yang bisa diterbitkan di Selayar</w:t>
            </w:r>
          </w:p>
        </w:tc>
      </w:tr>
      <w:tr>
        <w:tblPrEx>
          <w:tblCellMar>
            <w:top w:w="0" w:type="dxa"/>
            <w:left w:w="108" w:type="dxa"/>
            <w:bottom w:w="0" w:type="dxa"/>
            <w:right w:w="108" w:type="dxa"/>
          </w:tblCellMar>
        </w:tblPrEx>
        <w:trPr>
          <w:trHeight w:val="881"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terbatasnya kerjasama dengan pihak swasta</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akses pemerintah daerah maupun swasta dalam menarik minat investor untuk bekerjasama dalam meningkatkan jaringan distribusi logisitk di Kabupaten Kepulauan Selayar</w:t>
            </w:r>
          </w:p>
        </w:tc>
      </w:tr>
      <w:tr>
        <w:tblPrEx>
          <w:tblCellMar>
            <w:top w:w="0" w:type="dxa"/>
            <w:left w:w="108" w:type="dxa"/>
            <w:bottom w:w="0" w:type="dxa"/>
            <w:right w:w="108" w:type="dxa"/>
          </w:tblCellMar>
        </w:tblPrEx>
        <w:trPr>
          <w:trHeight w:val="794" w:hRule="atLeast"/>
        </w:trPr>
        <w:tc>
          <w:tcPr>
            <w:tcW w:w="434"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nil"/>
              <w:right w:val="single" w:color="auto" w:sz="4" w:space="0"/>
            </w:tcBorders>
            <w:shd w:val="clear" w:color="auto" w:fill="auto"/>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544"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Kegiatan pengiriman barang dari Surabaya ke Selayar sampai dengan saat ini masih belum efektif karena kurangnya dukungan dan kerjasama pihak swasta dan investor </w:t>
            </w:r>
          </w:p>
        </w:tc>
      </w:tr>
      <w:tr>
        <w:tblPrEx>
          <w:tblCellMar>
            <w:top w:w="0" w:type="dxa"/>
            <w:left w:w="108" w:type="dxa"/>
            <w:bottom w:w="0" w:type="dxa"/>
            <w:right w:w="108" w:type="dxa"/>
          </w:tblCellMar>
        </w:tblPrEx>
        <w:trPr>
          <w:trHeight w:val="1262" w:hRule="atLeast"/>
        </w:trPr>
        <w:tc>
          <w:tcPr>
            <w:tcW w:w="434"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w:t>
            </w:r>
          </w:p>
        </w:tc>
        <w:tc>
          <w:tcPr>
            <w:tcW w:w="2543" w:type="dxa"/>
            <w:tcBorders>
              <w:top w:val="single" w:color="auto" w:sz="4" w:space="0"/>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Daya saing produk-produk yang dipromosikan</w:t>
            </w:r>
          </w:p>
        </w:tc>
        <w:tc>
          <w:tcPr>
            <w:tcW w:w="269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Akses pasar dan jaringan pemasaran masih perlu ditingkatkan</w:t>
            </w:r>
          </w:p>
        </w:tc>
        <w:tc>
          <w:tcPr>
            <w:tcW w:w="354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pembinaan diaspek inovasi dan diversifikasi produk agar mendorong Pelaku IKM, pelaku UKM dan pelaku Usaha Perdagangan agar tidak kalah bersaing untuk dan berkembang dengan inovasi produk yang baru dan sesuai dengan selera pasar</w:t>
            </w:r>
          </w:p>
        </w:tc>
      </w:tr>
      <w:tr>
        <w:tblPrEx>
          <w:tblCellMar>
            <w:top w:w="0" w:type="dxa"/>
            <w:left w:w="108" w:type="dxa"/>
            <w:bottom w:w="0" w:type="dxa"/>
            <w:right w:w="108" w:type="dxa"/>
          </w:tblCellMar>
        </w:tblPrEx>
        <w:trPr>
          <w:trHeight w:val="642"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3</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SDM pelaku usaha perdagangan masih rendah</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Rendahnya tingkat pendidikan kader koperasi yang relatif tua dan menyebabkan kesulitan mengadopsi IPTEK</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umur dan tingkat pendidikan pelaku usaha</w:t>
            </w:r>
          </w:p>
        </w:tc>
      </w:tr>
      <w:tr>
        <w:tblPrEx>
          <w:tblCellMar>
            <w:top w:w="0" w:type="dxa"/>
            <w:left w:w="108" w:type="dxa"/>
            <w:bottom w:w="0" w:type="dxa"/>
            <w:right w:w="108" w:type="dxa"/>
          </w:tblCellMar>
        </w:tblPrEx>
        <w:trPr>
          <w:trHeight w:val="867"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terbatasnya petugas yang mampu membina pedagang usaha informal maupun formal untuk mengembangkan usahanya</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pedagang pasar masih menetap berhasil direlokasi Tempat Pelelangan Ikan belum berhasil direlokasi ke pasar Bonea</w:t>
            </w:r>
          </w:p>
        </w:tc>
      </w:tr>
      <w:tr>
        <w:tblPrEx>
          <w:tblCellMar>
            <w:top w:w="0" w:type="dxa"/>
            <w:left w:w="108" w:type="dxa"/>
            <w:bottom w:w="0" w:type="dxa"/>
            <w:right w:w="108" w:type="dxa"/>
          </w:tblCellMar>
        </w:tblPrEx>
        <w:trPr>
          <w:trHeight w:val="766"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3</w:t>
            </w:r>
          </w:p>
        </w:tc>
        <w:tc>
          <w:tcPr>
            <w:tcW w:w="2543" w:type="dxa"/>
            <w:tcBorders>
              <w:top w:val="nil"/>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Nilai tambah hasil produksi dari berbagai sektor dan pengembangan produk pasar belum optimal</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rendahnya peningkatan skala </w:t>
            </w:r>
            <w:r>
              <w:rPr>
                <w:rFonts w:ascii="Bookman Old Style" w:hAnsi="Bookman Old Style" w:eastAsia="Times New Roman" w:cs="Calibri"/>
                <w:color w:val="000000"/>
                <w:sz w:val="16"/>
                <w:szCs w:val="16"/>
              </w:rPr>
              <w:br w:type="textWrapping"/>
            </w:r>
            <w:r>
              <w:rPr>
                <w:rFonts w:ascii="Bookman Old Style" w:hAnsi="Bookman Old Style" w:eastAsia="Times New Roman" w:cs="Calibri"/>
                <w:color w:val="000000"/>
                <w:sz w:val="16"/>
                <w:szCs w:val="16"/>
              </w:rPr>
              <w:t>usaha bagi pelaku usaha perdagangan</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Masih minimnya kualitas produk komiditi unggulan  </w:t>
            </w:r>
          </w:p>
        </w:tc>
      </w:tr>
      <w:tr>
        <w:tblPrEx>
          <w:tblCellMar>
            <w:top w:w="0" w:type="dxa"/>
            <w:left w:w="108" w:type="dxa"/>
            <w:bottom w:w="0" w:type="dxa"/>
            <w:right w:w="108" w:type="dxa"/>
          </w:tblCellMar>
        </w:tblPrEx>
        <w:trPr>
          <w:trHeight w:val="551"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minimnya bagi para pelaku usaha yang mencamtumkan label informasi kualitas produknya</w:t>
            </w:r>
          </w:p>
        </w:tc>
      </w:tr>
      <w:tr>
        <w:tblPrEx>
          <w:tblCellMar>
            <w:top w:w="0" w:type="dxa"/>
            <w:left w:w="108" w:type="dxa"/>
            <w:bottom w:w="0" w:type="dxa"/>
            <w:right w:w="108" w:type="dxa"/>
          </w:tblCellMar>
        </w:tblPrEx>
        <w:trPr>
          <w:trHeight w:val="559"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terbatasnya informasi harga pasar dan pengetahuan tentang teknis pemasaran</w:t>
            </w:r>
          </w:p>
        </w:tc>
      </w:tr>
      <w:tr>
        <w:tblPrEx>
          <w:tblCellMar>
            <w:top w:w="0" w:type="dxa"/>
            <w:left w:w="108" w:type="dxa"/>
            <w:bottom w:w="0" w:type="dxa"/>
            <w:right w:w="108" w:type="dxa"/>
          </w:tblCellMar>
        </w:tblPrEx>
        <w:trPr>
          <w:trHeight w:val="695"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4</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Infrastruktur perdagangan masih perlu mendapat dukungan penuh dari pemerintah</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keterbatasan anggaran baik APBN maupun APBD</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kurangnya kepedulian petugas dalam menyelesaikan proposal anggaran </w:t>
            </w:r>
          </w:p>
        </w:tc>
      </w:tr>
      <w:tr>
        <w:tblPrEx>
          <w:tblCellMar>
            <w:top w:w="0" w:type="dxa"/>
            <w:left w:w="108" w:type="dxa"/>
            <w:bottom w:w="0" w:type="dxa"/>
            <w:right w:w="108" w:type="dxa"/>
          </w:tblCellMar>
        </w:tblPrEx>
        <w:trPr>
          <w:trHeight w:val="351"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koordinasi dengan pihak terkait</w:t>
            </w:r>
          </w:p>
        </w:tc>
      </w:tr>
      <w:tr>
        <w:tblPrEx>
          <w:tblCellMar>
            <w:top w:w="0" w:type="dxa"/>
            <w:left w:w="108" w:type="dxa"/>
            <w:bottom w:w="0" w:type="dxa"/>
            <w:right w:w="108" w:type="dxa"/>
          </w:tblCellMar>
        </w:tblPrEx>
        <w:trPr>
          <w:trHeight w:val="683" w:hRule="atLeast"/>
        </w:trPr>
        <w:tc>
          <w:tcPr>
            <w:tcW w:w="434"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5</w:t>
            </w:r>
          </w:p>
        </w:tc>
        <w:tc>
          <w:tcPr>
            <w:tcW w:w="2543" w:type="dxa"/>
            <w:tcBorders>
              <w:top w:val="single" w:color="auto" w:sz="4" w:space="0"/>
              <w:left w:val="nil"/>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Akses pelaku usaha perdagangan terhadap layanan perbankan relatif rendah</w:t>
            </w:r>
          </w:p>
        </w:tc>
        <w:tc>
          <w:tcPr>
            <w:tcW w:w="269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banyak  yang memerlukan bantuan fasilitas dalam mengembangkan usahanya</w:t>
            </w:r>
          </w:p>
        </w:tc>
        <w:tc>
          <w:tcPr>
            <w:tcW w:w="354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Masih banyak yang tidak memiliki identitas ( ktp ) dan legalitas usaha</w:t>
            </w:r>
          </w:p>
        </w:tc>
      </w:tr>
      <w:tr>
        <w:tblPrEx>
          <w:tblCellMar>
            <w:top w:w="0" w:type="dxa"/>
            <w:left w:w="108" w:type="dxa"/>
            <w:bottom w:w="0" w:type="dxa"/>
            <w:right w:w="108" w:type="dxa"/>
          </w:tblCellMar>
        </w:tblPrEx>
        <w:trPr>
          <w:trHeight w:val="1062"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6</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Perlindungan konsumen dalam upaya ketetapan UTTP</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tenaga ahli yang dimiliki sehingga menyebabkan kurang optimalnya pelaksanaan pelayanan tera dan tera ulang alat UTTP dan BDKT</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Belum adanya formasi tenaga teknis kemetrologian, baik itu tenaga penera, pengawasa dan penyidik Kemetrologian</w:t>
            </w:r>
          </w:p>
        </w:tc>
      </w:tr>
      <w:tr>
        <w:tblPrEx>
          <w:tblCellMar>
            <w:top w:w="0" w:type="dxa"/>
            <w:left w:w="108" w:type="dxa"/>
            <w:bottom w:w="0" w:type="dxa"/>
            <w:right w:w="108" w:type="dxa"/>
          </w:tblCellMar>
        </w:tblPrEx>
        <w:trPr>
          <w:trHeight w:val="625"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Tidak adanya pegawai yang akan dikirim untuk mengikuti diklat teknis kemetrologian</w:t>
            </w:r>
          </w:p>
        </w:tc>
      </w:tr>
      <w:tr>
        <w:tblPrEx>
          <w:tblCellMar>
            <w:top w:w="0" w:type="dxa"/>
            <w:left w:w="108" w:type="dxa"/>
            <w:bottom w:w="0" w:type="dxa"/>
            <w:right w:w="108" w:type="dxa"/>
          </w:tblCellMar>
        </w:tblPrEx>
        <w:trPr>
          <w:trHeight w:val="704" w:hRule="atLeast"/>
        </w:trPr>
        <w:tc>
          <w:tcPr>
            <w:tcW w:w="434"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bottom w:val="nil"/>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SDM yang telah ada tidak mengikuti diklat teknis yang dilaksanakan oleh Direktorat Kemetrologian</w:t>
            </w:r>
          </w:p>
        </w:tc>
        <w:tc>
          <w:tcPr>
            <w:tcW w:w="3544"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Anggaran untuk ikut serta dalam diklat teknis kemetrologian yang kurang</w:t>
            </w:r>
          </w:p>
        </w:tc>
      </w:tr>
      <w:tr>
        <w:tblPrEx>
          <w:tblCellMar>
            <w:top w:w="0" w:type="dxa"/>
            <w:left w:w="108" w:type="dxa"/>
            <w:bottom w:w="0" w:type="dxa"/>
            <w:right w:w="108" w:type="dxa"/>
          </w:tblCellMar>
        </w:tblPrEx>
        <w:trPr>
          <w:trHeight w:val="704" w:hRule="atLeast"/>
        </w:trPr>
        <w:tc>
          <w:tcPr>
            <w:tcW w:w="434"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7</w:t>
            </w:r>
          </w:p>
        </w:tc>
        <w:tc>
          <w:tcPr>
            <w:tcW w:w="2543" w:type="dxa"/>
            <w:tcBorders>
              <w:top w:val="nil"/>
              <w:left w:val="nil"/>
              <w:bottom w:val="nil"/>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Kesadaran wajib tera / pelaku usaha yang masih rendah</w:t>
            </w:r>
          </w:p>
        </w:tc>
        <w:tc>
          <w:tcPr>
            <w:tcW w:w="2693"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Pelaku usaha / wajib tera kurang memahami pentingnya mengikuti tera/tera ulang alat UTTP</w:t>
            </w:r>
          </w:p>
        </w:tc>
        <w:tc>
          <w:tcPr>
            <w:tcW w:w="3544"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Belum tersosialisasikannya secara efektif kewajiban wwajib tera untuk mengikuti pelaksanaan tera dan tera ulang</w:t>
            </w:r>
          </w:p>
        </w:tc>
      </w:tr>
      <w:tr>
        <w:tblPrEx>
          <w:tblCellMar>
            <w:top w:w="0" w:type="dxa"/>
            <w:left w:w="108" w:type="dxa"/>
            <w:bottom w:w="0" w:type="dxa"/>
            <w:right w:w="108" w:type="dxa"/>
          </w:tblCellMar>
        </w:tblPrEx>
        <w:trPr>
          <w:trHeight w:val="704" w:hRule="atLeast"/>
        </w:trPr>
        <w:tc>
          <w:tcPr>
            <w:tcW w:w="434" w:type="dxa"/>
            <w:tcBorders>
              <w:top w:val="nil"/>
              <w:left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543" w:type="dxa"/>
            <w:tcBorders>
              <w:top w:val="nil"/>
              <w:left w:val="nil"/>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2693" w:type="dxa"/>
            <w:tcBorders>
              <w:top w:val="nil"/>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Peran aktif masyarakat dalam melakukan pengawasan alat UTTP</w:t>
            </w:r>
          </w:p>
        </w:tc>
        <w:tc>
          <w:tcPr>
            <w:tcW w:w="3544" w:type="dxa"/>
            <w:tcBorders>
              <w:top w:val="nil"/>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Kurangnya laporan masyarakat terkait penggunaan alat UTTP yang terindikasi tidak sesuai dengan peraturan perundang-undangan</w:t>
            </w:r>
          </w:p>
        </w:tc>
      </w:tr>
      <w:tr>
        <w:tblPrEx>
          <w:tblCellMar>
            <w:top w:w="0" w:type="dxa"/>
            <w:left w:w="108" w:type="dxa"/>
            <w:bottom w:w="0" w:type="dxa"/>
            <w:right w:w="108" w:type="dxa"/>
          </w:tblCellMar>
        </w:tblPrEx>
        <w:trPr>
          <w:trHeight w:val="704" w:hRule="atLeast"/>
        </w:trPr>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8</w:t>
            </w:r>
          </w:p>
        </w:tc>
        <w:tc>
          <w:tcPr>
            <w:tcW w:w="2543" w:type="dxa"/>
            <w:tcBorders>
              <w:top w:val="nil"/>
              <w:left w:val="nil"/>
              <w:bottom w:val="single" w:color="auto" w:sz="4" w:space="0"/>
              <w:right w:val="single" w:color="auto" w:sz="4" w:space="0"/>
            </w:tcBorders>
            <w:shd w:val="clear" w:color="auto" w:fill="auto"/>
            <w:noWrap/>
          </w:tcPr>
          <w:p>
            <w:pPr>
              <w:spacing w:after="0" w:line="240" w:lineRule="auto"/>
              <w:jc w:val="both"/>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Daya dukung Kendaraan Operasional belum ada</w:t>
            </w:r>
          </w:p>
        </w:tc>
        <w:tc>
          <w:tcPr>
            <w:tcW w:w="2693"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Tidak tersedianya kendaraan operasional</w:t>
            </w:r>
          </w:p>
        </w:tc>
        <w:tc>
          <w:tcPr>
            <w:tcW w:w="3544"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Mobilitas yang tinggi dengan membawa alat standar kemetrologian sangat membutuhkan kendaraan operasional roda empat</w:t>
            </w:r>
          </w:p>
        </w:tc>
      </w:tr>
    </w:tbl>
    <w:p>
      <w:pPr>
        <w:spacing w:after="0" w:line="240" w:lineRule="auto"/>
        <w:rPr>
          <w:rFonts w:ascii="Bookman Old Style" w:hAnsi="Bookman Old Style" w:eastAsia="Times New Roman" w:cs="Calibri"/>
          <w:color w:val="000000"/>
          <w:sz w:val="16"/>
          <w:szCs w:val="16"/>
        </w:rPr>
      </w:pPr>
    </w:p>
    <w:p>
      <w:pPr>
        <w:tabs>
          <w:tab w:val="left" w:pos="709"/>
        </w:tabs>
        <w:spacing w:after="0" w:line="360" w:lineRule="auto"/>
        <w:ind w:left="709" w:hanging="709"/>
        <w:jc w:val="both"/>
        <w:rPr>
          <w:rFonts w:ascii="Bookman Old Style" w:hAnsi="Bookman Old Style" w:eastAsia="Times New Roman" w:cs="Tahoma"/>
          <w:b/>
          <w:color w:val="000000" w:themeColor="text1"/>
          <w:sz w:val="10"/>
          <w:szCs w:val="10"/>
          <w:lang w:val="fi-FI"/>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3.2.</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Telaahan Visi, Misi dan Program Kepala Daerah dan Wakil Kepala Daerah Terpilih</w:t>
      </w:r>
      <w:r>
        <w:rPr>
          <w:rFonts w:ascii="Bookman Old Style" w:hAnsi="Bookman Old Style" w:eastAsia="Times New Roman" w:cs="Tahoma"/>
          <w:b/>
          <w:color w:val="000000" w:themeColor="text1"/>
          <w:sz w:val="24"/>
          <w:szCs w:val="24"/>
          <w:lang w:val="fi-FI"/>
          <w14:textFill>
            <w14:solidFill>
              <w14:schemeClr w14:val="tx1"/>
            </w14:solidFill>
          </w14:textFill>
        </w:rPr>
        <w:t xml:space="preserve"> </w:t>
      </w:r>
    </w:p>
    <w:p>
      <w:pPr>
        <w:tabs>
          <w:tab w:val="left" w:pos="709"/>
        </w:tabs>
        <w:spacing w:after="0" w:line="360" w:lineRule="auto"/>
        <w:ind w:left="709" w:hanging="709"/>
        <w:jc w:val="both"/>
        <w:rPr>
          <w:rFonts w:ascii="Bookman Old Style" w:hAnsi="Bookman Old Style" w:eastAsia="Times New Roman" w:cs="Tahoma"/>
          <w:b/>
          <w:color w:val="000000" w:themeColor="text1"/>
          <w:sz w:val="10"/>
          <w:szCs w:val="10"/>
          <w:lang w:val="fi-FI"/>
          <w14:textFill>
            <w14:solidFill>
              <w14:schemeClr w14:val="tx1"/>
            </w14:solidFill>
          </w14:textFill>
        </w:rPr>
      </w:pPr>
    </w:p>
    <w:p>
      <w:pPr>
        <w:tabs>
          <w:tab w:val="left" w:pos="1701"/>
        </w:tabs>
        <w:spacing w:after="0" w:line="360" w:lineRule="auto"/>
        <w:ind w:left="709" w:firstLine="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Visi pembangunan daerah adalah visi dan misi kepala daerah dan wakil kepala daerah terpilih, yang merupakan landasan perumusan tujuan dan sasaran dengan memperhatikan program kepala daerah dan wakil kepala daerah terpilih sebagai substansi dan rujukan utama penyusunan RPJMD dan demi mendapatkan perencanaan yang baik, manageable, selaras dengan manajemen pemerintah daerah, maka visi dan misi tersebut perlu dikembangkan dan dijabarkan sesuai prinsip perencanaan pembangunan daerah, agar tujuan dan sasaran pembangunan selama 5 (lima) tahun dapat dijabarkan secara efektif dalam mencapai tujuan utama pembanguan daerah. </w:t>
      </w:r>
    </w:p>
    <w:p>
      <w:pPr>
        <w:tabs>
          <w:tab w:val="left" w:pos="1701"/>
        </w:tabs>
        <w:spacing w:after="0" w:line="360" w:lineRule="auto"/>
        <w:ind w:left="709" w:hanging="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Berdasarkan permasalahan dan isu strategis pembangunan Kabupaten Kepulauan Selayar yang berbasis pada sumberdaya  maritime</w:t>
      </w:r>
    </w:p>
    <w:p>
      <w:pPr>
        <w:tabs>
          <w:tab w:val="left" w:pos="1701"/>
        </w:tabs>
        <w:spacing w:after="0" w:line="360" w:lineRule="auto"/>
        <w:ind w:left="709" w:hanging="709"/>
        <w:jc w:val="both"/>
        <w:rPr>
          <w:rFonts w:ascii="Bookman Old Style" w:hAnsi="Bookman Old Style" w:eastAsia="Times New Roman" w:cs="Times New Roman"/>
          <w:b/>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serta memperhatikan rumusan visi RPJMN 2020-2024, RPJMD Provinsi Sulawesi Selatan 2018-2023 dan RPJPD Kabupaten Kepulauan Selayar 2005-2025, maka visi RPJMD Kabupaten Kepulauan Selayar 2021-2026 adalah :</w:t>
      </w:r>
    </w:p>
    <w:p>
      <w:pPr>
        <w:tabs>
          <w:tab w:val="left" w:pos="1701"/>
        </w:tabs>
        <w:spacing w:after="0" w:line="360" w:lineRule="auto"/>
        <w:ind w:left="709" w:firstLine="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Kepulauan Selayar sebagai Bandar Maritim Kawasan Timur Indonesia</w:t>
      </w:r>
      <w:r>
        <w:rPr>
          <w:rFonts w:ascii="Bookman Old Style" w:hAnsi="Bookman Old Style" w:eastAsia="Times New Roman" w:cs="Tahoma"/>
          <w:color w:val="000000" w:themeColor="text1"/>
          <w:sz w:val="24"/>
          <w:szCs w:val="24"/>
          <w14:textFill>
            <w14:solidFill>
              <w14:schemeClr w14:val="tx1"/>
            </w14:solidFill>
          </w14:textFill>
        </w:rPr>
        <w:tab/>
      </w:r>
    </w:p>
    <w:p>
      <w:pPr>
        <w:tabs>
          <w:tab w:val="left" w:pos="1701"/>
        </w:tabs>
        <w:spacing w:after="0" w:line="360" w:lineRule="auto"/>
        <w:ind w:left="709" w:firstLine="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Bandar Maritim adalah seluruh kegiatan yang berhubungan dengan kepelabuhanan yang memiliki kawasan khusus untuk melayani penumpang dan bongkar/muat barang, serta perdagangan barang.</w:t>
      </w:r>
    </w:p>
    <w:p>
      <w:pPr>
        <w:spacing w:after="0" w:line="240" w:lineRule="auto"/>
        <w:rPr>
          <w:rFonts w:ascii="Bookman Old Style" w:hAnsi="Bookman Old Style" w:eastAsia="Times New Roman" w:cs="Calibri"/>
          <w:color w:val="000000"/>
          <w:sz w:val="16"/>
          <w:szCs w:val="16"/>
        </w:rPr>
        <w:sectPr>
          <w:pgSz w:w="12240" w:h="20160"/>
          <w:pgMar w:top="1134" w:right="1134" w:bottom="2098" w:left="1701" w:header="708" w:footer="2268" w:gutter="0"/>
          <w:cols w:space="708" w:num="1"/>
          <w:docGrid w:linePitch="360" w:charSpace="0"/>
        </w:sectPr>
      </w:pPr>
    </w:p>
    <w:p>
      <w:pPr>
        <w:tabs>
          <w:tab w:val="left" w:pos="1701"/>
        </w:tabs>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Indikator Utama yang hendak diwujudkan pada akhir periode RPJMD adalah : </w:t>
      </w:r>
    </w:p>
    <w:p>
      <w:pPr>
        <w:numPr>
          <w:ilvl w:val="0"/>
          <w:numId w:val="58"/>
        </w:numPr>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Kepulauan Selayar berperan menjadi simpul transportasi laut nasional; </w:t>
      </w:r>
    </w:p>
    <w:p>
      <w:pPr>
        <w:numPr>
          <w:ilvl w:val="0"/>
          <w:numId w:val="58"/>
        </w:numPr>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Pengelolaan sumber daya alam yang optimal dengan keseimbangan lingkungan hidup yang terjamin; </w:t>
      </w:r>
    </w:p>
    <w:p>
      <w:pPr>
        <w:numPr>
          <w:ilvl w:val="0"/>
          <w:numId w:val="58"/>
        </w:numPr>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Kepulauan Selayar menjadi penyuplai kebutuhan pangan nasional dari komoditas perikanan serta menjadi penyedia komoditas ekspor perikanan dan non perikanan; </w:t>
      </w:r>
    </w:p>
    <w:p>
      <w:pPr>
        <w:numPr>
          <w:ilvl w:val="0"/>
          <w:numId w:val="58"/>
        </w:numPr>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Peningkatan pelayanan, pemberdayaan masyarakat dan daya saing daerah.    </w:t>
      </w:r>
    </w:p>
    <w:p>
      <w:pPr>
        <w:tabs>
          <w:tab w:val="left" w:pos="1701"/>
        </w:tabs>
        <w:spacing w:after="0" w:line="360" w:lineRule="auto"/>
        <w:ind w:left="99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Bandar maritim didukung oleh tiga pilar pembangunan                yaitu : </w:t>
      </w:r>
    </w:p>
    <w:p>
      <w:pPr>
        <w:tabs>
          <w:tab w:val="left" w:pos="1701"/>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1. Kawasan Distribusi Logistik di Pamatata dan sekitarnya, yang ditopang oleh 5 (lima) sub kawasan yaitu Kawasan Pelabuhan Benteng, Kawasan Pelabuhan Benteng Jampea, Kawasan Pelabuhan Bonerate, Kawasan Pelabuhan Kalaotoa; </w:t>
      </w:r>
    </w:p>
    <w:p>
      <w:pPr>
        <w:tabs>
          <w:tab w:val="left" w:pos="1701"/>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2. Kawasan Ekonomi Khusus Pariwisata di Pasi Gusung, yang didukung oleh 7 (tujuh) sub kawasan yaitu Kawasan Matalalang, Kawasan Baloiya, Pantai Pinang, Pantai Bahuluang, Pantai Polassi, Pantai Kayuadi, Pantai Pulau Panjang; </w:t>
      </w:r>
    </w:p>
    <w:p>
      <w:pPr>
        <w:tabs>
          <w:tab w:val="left" w:pos="1701"/>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3. Kawasan Industri Perikanan Terpadu (KIPT) di Hangkoang, yang didukung oleh 5 (lima) sub sentra yaitu Kawasan TPI Bonehalang, Kawasan Pelabuhan Kayuadi, Kawasan Pelabuhan Benteng Jampea, Kawasan Pelabuhan Bonerate, Kawasan Pelabuhan Kalaotoa. </w:t>
      </w:r>
    </w:p>
    <w:p>
      <w:pPr>
        <w:tabs>
          <w:tab w:val="left" w:pos="1701"/>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4.   G</w:t>
      </w:r>
      <w:r>
        <w:rPr>
          <w:rFonts w:ascii="Bookman Old Style" w:hAnsi="Bookman Old Style" w:eastAsia="Times New Roman" w:cs="Times New Roman"/>
          <w:color w:val="000000" w:themeColor="text1"/>
          <w:sz w:val="24"/>
          <w:szCs w:val="24"/>
          <w:lang w:val="zh-CN"/>
          <w14:textFill>
            <w14:solidFill>
              <w14:schemeClr w14:val="tx1"/>
            </w14:solidFill>
          </w14:textFill>
        </w:rPr>
        <w:t>ERBANG SARI (</w:t>
      </w: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 xml:space="preserve">Gerakan membangun desa mandiri) </w:t>
      </w:r>
    </w:p>
    <w:p>
      <w:pPr>
        <w:spacing w:after="0" w:line="360" w:lineRule="auto"/>
        <w:ind w:left="1134"/>
        <w:contextualSpacing w:val="0"/>
        <w:jc w:val="both"/>
        <w:rPr>
          <w:rFonts w:ascii="Bookman Old Style" w:hAnsi="Bookman Old Style" w:eastAsia="Times New Roman" w:cs="Times New Roman"/>
          <w:color w:val="000000" w:themeColor="text1"/>
          <w:sz w:val="24"/>
          <w:szCs w:val="24"/>
          <w:lang w:val="zh-CN"/>
          <w14:textFill>
            <w14:solidFill>
              <w14:schemeClr w14:val="tx1"/>
            </w14:solidFill>
          </w14:textFill>
        </w:rPr>
      </w:pPr>
      <w:r>
        <w:rPr>
          <w:rFonts w:ascii="Bookman Old Style" w:hAnsi="Bookman Old Style" w:eastAsia="Times New Roman" w:cs="Times New Roman"/>
          <w:color w:val="000000" w:themeColor="text1"/>
          <w:sz w:val="24"/>
          <w:szCs w:val="24"/>
          <w:shd w:val="clear" w:color="auto" w:fill="FFFFFF"/>
          <w:lang w:val="zh-CN"/>
          <w14:textFill>
            <w14:solidFill>
              <w14:schemeClr w14:val="tx1"/>
            </w14:solidFill>
          </w14:textFill>
        </w:rPr>
        <w:t>Program Gerbang Sari ini bertujuan untuk meningkatkan status desa mejadi desa mandiri. </w:t>
      </w:r>
    </w:p>
    <w:p>
      <w:pPr>
        <w:spacing w:after="0" w:line="360" w:lineRule="auto"/>
        <w:ind w:left="720" w:firstLine="720"/>
        <w:contextualSpacing w:val="0"/>
        <w:jc w:val="both"/>
        <w:rPr>
          <w:rFonts w:ascii="Bookman Old Style" w:hAnsi="Bookman Old Style" w:eastAsia="Times New Roman" w:cs="Times New Roman"/>
          <w:color w:val="000000" w:themeColor="text1"/>
          <w:sz w:val="24"/>
          <w:szCs w:val="24"/>
          <w:lang w:val="zh-CN"/>
          <w14:textFill>
            <w14:solidFill>
              <w14:schemeClr w14:val="tx1"/>
            </w14:solidFill>
          </w14:textFill>
        </w:rPr>
      </w:pPr>
      <w:r>
        <w:rPr>
          <w:rFonts w:ascii="Bookman Old Style" w:hAnsi="Bookman Old Style" w:eastAsia="Times New Roman" w:cs="Times New Roman"/>
          <w:color w:val="000000" w:themeColor="text1"/>
          <w:sz w:val="24"/>
          <w:szCs w:val="24"/>
          <w:lang w:val="zh-CN"/>
          <w14:textFill>
            <w14:solidFill>
              <w14:schemeClr w14:val="tx1"/>
            </w14:solidFill>
          </w14:textFill>
        </w:rPr>
        <w:t>Kawasan Timur Indonesia maksudnya berada pada kawasan timur Indonesia dengan jaringan atau hubungan perdagangan barang/jasa, industri, dan distribusi logistik yang mencakup kabupaten/kota pada wilayah Teluk Bone, Sulawesi Tenggara, Sulawesi Tengah bagian timur, Maluku dan Maluku Utara.</w:t>
      </w:r>
    </w:p>
    <w:p>
      <w:pPr>
        <w:tabs>
          <w:tab w:val="left" w:pos="1701"/>
        </w:tabs>
        <w:spacing w:after="0" w:line="360" w:lineRule="auto"/>
        <w:ind w:left="709"/>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lang w:val="zh-CN"/>
          <w14:textFill>
            <w14:solidFill>
              <w14:schemeClr w14:val="tx1"/>
            </w14:solidFill>
          </w14:textFill>
        </w:rPr>
        <w:t>Dalam mewujudkan Kabupaten Kepulauan Selayar sebagai Kabupaten Maritim sesuai amanat RPJPD 2005-2025, maka dalam lima tahun kedepan, agenda prioritas daerah akan diimplementasikan Tiga Pilar Pembangunan Daerah dan satu Program Unggulan sebagaimana yang telah disebutkan diatas. Namun masih terdapat permasalahan pokok daerah bidang urusan Dinas</w:t>
      </w:r>
      <w:r>
        <w:rPr>
          <w:rFonts w:ascii="Bookman Old Style" w:hAnsi="Bookman Old Style" w:eastAsia="Times New Roman" w:cs="Times New Roman"/>
          <w:color w:val="000000" w:themeColor="text1"/>
          <w:sz w:val="24"/>
          <w:szCs w:val="20"/>
          <w14:textFill>
            <w14:solidFill>
              <w14:schemeClr w14:val="tx1"/>
            </w14:solidFill>
          </w14:textFill>
        </w:rPr>
        <w:t xml:space="preserve"> </w:t>
      </w:r>
      <w:r>
        <w:rPr>
          <w:rFonts w:ascii="Bookman Old Style" w:hAnsi="Bookman Old Style" w:eastAsia="Times New Roman" w:cs="Times New Roman"/>
          <w:color w:val="000000" w:themeColor="text1"/>
          <w:sz w:val="24"/>
          <w:szCs w:val="20"/>
          <w:lang w:val="zh-CN"/>
          <w14:textFill>
            <w14:solidFill>
              <w14:schemeClr w14:val="tx1"/>
            </w14:solidFill>
          </w14:textFill>
        </w:rPr>
        <w:t>Perdagangan, Koperasi, Usaha Kecil dan Menengah yang dapat menghambat terwujudnya agenda dimaksud, yaitu terkendala pada pembebasan lahan dan keterbatasan anggaran.</w:t>
      </w:r>
    </w:p>
    <w:p>
      <w:pPr>
        <w:tabs>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Misi adalah upaya umum dalam mewujudkan visi. Maka misi yang diajukan oleh Kepala Daerah Terpilih pada Periode 2021-2026  adalah : </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tata kelola pemerintahan yang akuntabel dan transparan. </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kualitas pembangunan perdesaan. </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kualitas hidup masyarakat.</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pengelolaan potensi kelautan. </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pembinaan kehidupan sosial dan keagamaan. </w:t>
      </w:r>
    </w:p>
    <w:p>
      <w:pPr>
        <w:numPr>
          <w:ilvl w:val="0"/>
          <w:numId w:val="59"/>
        </w:numPr>
        <w:tabs>
          <w:tab w:val="left" w:pos="1134"/>
          <w:tab w:val="left" w:pos="1701"/>
        </w:tabs>
        <w:spacing w:after="0" w:line="360" w:lineRule="auto"/>
        <w:ind w:left="1069"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pengelolaan lingkungan hidup. </w:t>
      </w: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Tujuan adalah kondisi yang akan dicapai atau dihasilkan oleh Dinas Perdagangan, Koperasi, Usaha Kecil dan Menengah selama periode RPJMD. Maka tujuan yang hendak dicapai pada 2021-2026 adalah : </w:t>
      </w:r>
    </w:p>
    <w:p>
      <w:pPr>
        <w:numPr>
          <w:ilvl w:val="0"/>
          <w:numId w:val="60"/>
        </w:numPr>
        <w:spacing w:before="60" w:beforeAutospacing="0" w:after="60" w:afterAutospacing="0" w:line="276" w:lineRule="auto"/>
        <w:ind w:left="1134" w:hanging="360"/>
        <w:jc w:val="both"/>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Meningkatkan akuntabilitas kinerja dan keuangan Disdag KUKM</w:t>
      </w:r>
      <w:r>
        <w:rPr>
          <w:rFonts w:ascii="Bookman Old Style" w:hAnsi="Bookman Old Style" w:eastAsia="Times New Roman" w:cs="Tahoma"/>
          <w:bCs/>
          <w:color w:val="000000" w:themeColor="text1"/>
          <w:sz w:val="24"/>
          <w:szCs w:val="24"/>
          <w:lang w:val="id-ID" w:eastAsia="id-ID"/>
          <w14:textFill>
            <w14:solidFill>
              <w14:schemeClr w14:val="tx1"/>
            </w14:solidFill>
          </w14:textFill>
        </w:rPr>
        <w:t xml:space="preserve"> </w:t>
      </w:r>
    </w:p>
    <w:p>
      <w:pPr>
        <w:numPr>
          <w:ilvl w:val="0"/>
          <w:numId w:val="60"/>
        </w:numPr>
        <w:spacing w:before="60" w:beforeAutospacing="0" w:after="60" w:afterAutospacing="0" w:line="276" w:lineRule="auto"/>
        <w:ind w:left="1134" w:hanging="360"/>
        <w:jc w:val="both"/>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Meningkatkan kemandirian Koperasi</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 dan </w:t>
      </w:r>
      <w:r>
        <w:rPr>
          <w:rFonts w:ascii="Bookman Old Style" w:hAnsi="Bookman Old Style" w:eastAsia="Times New Roman" w:cs="Tahoma"/>
          <w:color w:val="000000" w:themeColor="text1"/>
          <w:sz w:val="24"/>
          <w:szCs w:val="24"/>
          <w:lang w:val="id-ID" w:eastAsia="id-ID"/>
          <w14:textFill>
            <w14:solidFill>
              <w14:schemeClr w14:val="tx1"/>
            </w14:solidFill>
          </w14:textFill>
        </w:rPr>
        <w:t>UKM</w:t>
      </w:r>
    </w:p>
    <w:p>
      <w:pPr>
        <w:numPr>
          <w:ilvl w:val="0"/>
          <w:numId w:val="60"/>
        </w:numPr>
        <w:spacing w:before="60" w:beforeAutospacing="0" w:after="60" w:afterAutospacing="0" w:line="276" w:lineRule="auto"/>
        <w:ind w:left="1134" w:hanging="360"/>
        <w:jc w:val="both"/>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Meningkatkan </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kesejahteraan masyarakat pelaku usaha </w:t>
      </w:r>
    </w:p>
    <w:p>
      <w:pPr>
        <w:numPr>
          <w:ilvl w:val="0"/>
          <w:numId w:val="60"/>
        </w:numPr>
        <w:spacing w:before="60" w:beforeAutospacing="0" w:after="60" w:afterAutospacing="0" w:line="360" w:lineRule="auto"/>
        <w:ind w:left="1134" w:hanging="360"/>
        <w:jc w:val="both"/>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Meningkatkan penguatan pasar </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daerah </w:t>
      </w:r>
      <w:r>
        <w:rPr>
          <w:rFonts w:ascii="Bookman Old Style" w:hAnsi="Bookman Old Style" w:eastAsia="Times New Roman" w:cs="Tahoma"/>
          <w:color w:val="000000" w:themeColor="text1"/>
          <w:sz w:val="24"/>
          <w:szCs w:val="24"/>
          <w:lang w:val="id-ID" w:eastAsia="id-ID"/>
          <w14:textFill>
            <w14:solidFill>
              <w14:schemeClr w14:val="tx1"/>
            </w14:solidFill>
          </w14:textFill>
        </w:rPr>
        <w:t>guna meningkatkan perdagangan dalam negeri.</w:t>
      </w: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both"/>
        <w:rPr>
          <w:rFonts w:ascii="Bookman Old Style" w:hAnsi="Bookman Old Style" w:eastAsia="Times New Roman" w:cs="Tahoma"/>
          <w:color w:val="000000" w:themeColor="text1"/>
          <w:sz w:val="24"/>
          <w:szCs w:val="24"/>
          <w14:textFill>
            <w14:solidFill>
              <w14:schemeClr w14:val="tx1"/>
            </w14:solidFill>
          </w14:textFill>
        </w:rPr>
        <w:sectPr>
          <w:pgSz w:w="12240" w:h="20160"/>
          <w:pgMar w:top="1134" w:right="1134" w:bottom="2098" w:left="1701" w:header="708" w:footer="2268" w:gutter="0"/>
          <w:cols w:space="708" w:num="1"/>
          <w:docGrid w:linePitch="360" w:charSpace="0"/>
        </w:sectPr>
      </w:pPr>
    </w:p>
    <w:p>
      <w:pPr>
        <w:tabs>
          <w:tab w:val="left" w:pos="709"/>
          <w:tab w:val="left" w:pos="1701"/>
        </w:tabs>
        <w:spacing w:after="0" w:line="360" w:lineRule="auto"/>
        <w:ind w:left="709"/>
        <w:contextualSpacing/>
        <w:jc w:val="center"/>
        <w:rPr>
          <w:rFonts w:ascii="Bookman Old Style" w:hAnsi="Bookman Old Style" w:eastAsia="Times New Roman" w:cs="Tahoma"/>
          <w:color w:val="000000" w:themeColor="text1"/>
          <w:sz w:val="24"/>
          <w:szCs w:val="24"/>
          <w14:textFill>
            <w14:solidFill>
              <w14:schemeClr w14:val="tx1"/>
            </w14:solidFill>
          </w14:textFill>
        </w:rPr>
      </w:pPr>
    </w:p>
    <w:p>
      <w:pPr>
        <w:tabs>
          <w:tab w:val="left" w:pos="709"/>
          <w:tab w:val="left" w:pos="1701"/>
        </w:tabs>
        <w:spacing w:after="0" w:line="360" w:lineRule="auto"/>
        <w:ind w:left="709"/>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3.2.1</w:t>
      </w:r>
    </w:p>
    <w:p>
      <w:pPr>
        <w:tabs>
          <w:tab w:val="left" w:pos="709"/>
          <w:tab w:val="left" w:pos="1701"/>
        </w:tabs>
        <w:spacing w:after="0" w:line="360" w:lineRule="auto"/>
        <w:ind w:left="709"/>
        <w:contextualSpacing/>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Faktor Penghambat dan Pendorong Pelayanan OPD Disdag KUKM Terhadap Pencapaian Visi, Misi dan Program Bupati Kepulauan Selayar</w:t>
      </w:r>
    </w:p>
    <w:tbl>
      <w:tblPr>
        <w:tblStyle w:val="4"/>
        <w:tblW w:w="16552" w:type="dxa"/>
        <w:tblInd w:w="534" w:type="dxa"/>
        <w:tblLayout w:type="autofit"/>
        <w:tblCellMar>
          <w:top w:w="0" w:type="dxa"/>
          <w:left w:w="108" w:type="dxa"/>
          <w:bottom w:w="0" w:type="dxa"/>
          <w:right w:w="108" w:type="dxa"/>
        </w:tblCellMar>
      </w:tblPr>
      <w:tblGrid>
        <w:gridCol w:w="652"/>
        <w:gridCol w:w="2950"/>
        <w:gridCol w:w="4336"/>
        <w:gridCol w:w="3500"/>
        <w:gridCol w:w="5114"/>
      </w:tblGrid>
      <w:tr>
        <w:tblPrEx>
          <w:tblCellMar>
            <w:top w:w="0" w:type="dxa"/>
            <w:left w:w="108" w:type="dxa"/>
            <w:bottom w:w="0" w:type="dxa"/>
            <w:right w:w="108" w:type="dxa"/>
          </w:tblCellMar>
        </w:tblPrEx>
        <w:trPr>
          <w:trHeight w:val="799" w:hRule="atLeast"/>
        </w:trPr>
        <w:tc>
          <w:tcPr>
            <w:tcW w:w="16552" w:type="dxa"/>
            <w:gridSpan w:val="5"/>
            <w:tcBorders>
              <w:top w:val="single" w:color="000000" w:sz="8" w:space="0"/>
              <w:left w:val="single" w:color="000000" w:sz="8" w:space="0"/>
              <w:bottom w:val="single" w:color="000000" w:sz="8" w:space="0"/>
              <w:right w:val="single" w:color="000000" w:sz="8" w:space="0"/>
            </w:tcBorders>
            <w:shd w:val="clear" w:color="000000" w:fill="FFD96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Visi : “Kepulauan Selayar sebagai Bandar Maritim Kawasan Timur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Indonesia”</w:t>
            </w:r>
          </w:p>
        </w:tc>
      </w:tr>
      <w:tr>
        <w:tblPrEx>
          <w:tblCellMar>
            <w:top w:w="0" w:type="dxa"/>
            <w:left w:w="108" w:type="dxa"/>
            <w:bottom w:w="0" w:type="dxa"/>
            <w:right w:w="108" w:type="dxa"/>
          </w:tblCellMar>
        </w:tblPrEx>
        <w:trPr>
          <w:trHeight w:val="437" w:hRule="atLeast"/>
        </w:trPr>
        <w:tc>
          <w:tcPr>
            <w:tcW w:w="652"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No</w:t>
            </w:r>
          </w:p>
        </w:tc>
        <w:tc>
          <w:tcPr>
            <w:tcW w:w="2950"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Misi dan Program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 xml:space="preserve">KDH dan Wakil KDH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 xml:space="preserve">terpilih </w:t>
            </w:r>
          </w:p>
        </w:tc>
        <w:tc>
          <w:tcPr>
            <w:tcW w:w="4336"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Permasalahan Pelayanan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OPD DISPERIDAG KUKM</w:t>
            </w:r>
          </w:p>
        </w:tc>
        <w:tc>
          <w:tcPr>
            <w:tcW w:w="8614" w:type="dxa"/>
            <w:gridSpan w:val="2"/>
            <w:tcBorders>
              <w:top w:val="single" w:color="000000" w:sz="8" w:space="0"/>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Faktor</w:t>
            </w:r>
          </w:p>
        </w:tc>
      </w:tr>
      <w:tr>
        <w:tblPrEx>
          <w:tblCellMar>
            <w:top w:w="0" w:type="dxa"/>
            <w:left w:w="108" w:type="dxa"/>
            <w:bottom w:w="0" w:type="dxa"/>
            <w:right w:w="108" w:type="dxa"/>
          </w:tblCellMar>
        </w:tblPrEx>
        <w:trPr>
          <w:trHeight w:val="362" w:hRule="atLeast"/>
        </w:trPr>
        <w:tc>
          <w:tcPr>
            <w:tcW w:w="652"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2950"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4336"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3500" w:type="dxa"/>
            <w:tcBorders>
              <w:top w:val="nil"/>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Penghambat</w:t>
            </w:r>
          </w:p>
        </w:tc>
        <w:tc>
          <w:tcPr>
            <w:tcW w:w="5114" w:type="dxa"/>
            <w:tcBorders>
              <w:top w:val="nil"/>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Pendorong</w:t>
            </w:r>
          </w:p>
        </w:tc>
      </w:tr>
      <w:tr>
        <w:tblPrEx>
          <w:tblCellMar>
            <w:top w:w="0" w:type="dxa"/>
            <w:left w:w="108" w:type="dxa"/>
            <w:bottom w:w="0" w:type="dxa"/>
            <w:right w:w="108" w:type="dxa"/>
          </w:tblCellMar>
        </w:tblPrEx>
        <w:trPr>
          <w:trHeight w:val="317" w:hRule="atLeast"/>
        </w:trPr>
        <w:tc>
          <w:tcPr>
            <w:tcW w:w="652" w:type="dxa"/>
            <w:tcBorders>
              <w:top w:val="nil"/>
              <w:left w:val="single" w:color="000000" w:sz="8" w:space="0"/>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(1)</w:t>
            </w:r>
          </w:p>
        </w:tc>
        <w:tc>
          <w:tcPr>
            <w:tcW w:w="2950"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w:t>
            </w:r>
          </w:p>
        </w:tc>
        <w:tc>
          <w:tcPr>
            <w:tcW w:w="4336"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(3)</w:t>
            </w:r>
          </w:p>
        </w:tc>
        <w:tc>
          <w:tcPr>
            <w:tcW w:w="3500"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(4)</w:t>
            </w:r>
          </w:p>
        </w:tc>
        <w:tc>
          <w:tcPr>
            <w:tcW w:w="5114"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(5)</w:t>
            </w:r>
          </w:p>
        </w:tc>
      </w:tr>
      <w:tr>
        <w:tblPrEx>
          <w:tblCellMar>
            <w:top w:w="0" w:type="dxa"/>
            <w:left w:w="108" w:type="dxa"/>
            <w:bottom w:w="0" w:type="dxa"/>
            <w:right w:w="108" w:type="dxa"/>
          </w:tblCellMar>
        </w:tblPrEx>
        <w:trPr>
          <w:trHeight w:val="4021" w:hRule="atLeast"/>
        </w:trPr>
        <w:tc>
          <w:tcPr>
            <w:tcW w:w="652" w:type="dxa"/>
            <w:tcBorders>
              <w:top w:val="nil"/>
              <w:left w:val="single" w:color="auto" w:sz="4" w:space="0"/>
              <w:bottom w:val="single" w:color="auto" w:sz="4" w:space="0"/>
              <w:right w:val="single" w:color="000000" w:sz="8"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w:t>
            </w:r>
          </w:p>
        </w:tc>
        <w:tc>
          <w:tcPr>
            <w:tcW w:w="2950" w:type="dxa"/>
            <w:tcBorders>
              <w:top w:val="nil"/>
              <w:left w:val="nil"/>
              <w:bottom w:val="single" w:color="auto" w:sz="4"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Misi 2 : Meningkatkan kualitas pembangunan perdesaan</w:t>
            </w:r>
          </w:p>
        </w:tc>
        <w:tc>
          <w:tcPr>
            <w:tcW w:w="4336" w:type="dxa"/>
            <w:tcBorders>
              <w:top w:val="nil"/>
              <w:left w:val="nil"/>
              <w:bottom w:val="single" w:color="auto" w:sz="4" w:space="0"/>
              <w:right w:val="single" w:color="000000" w:sz="8" w:space="0"/>
            </w:tcBorders>
            <w:shd w:val="clear" w:color="auto" w:fill="auto"/>
          </w:tcPr>
          <w:p>
            <w:pPr>
              <w:numPr>
                <w:ilvl w:val="0"/>
                <w:numId w:val="61"/>
              </w:numPr>
              <w:autoSpaceDE w:val="0"/>
              <w:autoSpaceDN w:val="0"/>
              <w:adjustRightInd w:val="0"/>
              <w:spacing w:before="240" w:after="0" w:line="240" w:lineRule="auto"/>
              <w:ind w:left="445"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Kapasitas SDM kader koperasi untuk melakukan pembinaan kepada kelompok masyarakat masih rendah</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Regulasi pelaksanaan ART belum optimal. </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Dukungan pemerintah setempat dalam pelaksanaan kelembagaan koperasi belum berjalan sebagaimana mestinya </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Pengelolaan koperasi yang dibangun belum optimal</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Pengawasan dari internal koperasi terhadap pengelolaan koperasi masih rendah</w:t>
            </w:r>
          </w:p>
        </w:tc>
        <w:tc>
          <w:tcPr>
            <w:tcW w:w="3500" w:type="dxa"/>
            <w:tcBorders>
              <w:top w:val="nil"/>
              <w:left w:val="nil"/>
              <w:bottom w:val="single" w:color="auto" w:sz="4"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p>
            <w:pPr>
              <w:numPr>
                <w:ilvl w:val="0"/>
                <w:numId w:val="62"/>
              </w:numPr>
              <w:autoSpaceDE w:val="0"/>
              <w:autoSpaceDN w:val="0"/>
              <w:adjustRightInd w:val="0"/>
              <w:spacing w:after="0" w:line="240" w:lineRule="auto"/>
              <w:ind w:left="459" w:hanging="44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Masuknya produk impor yang menyebabkan produk UKM dan semakin terhimpit dan adanya tekanan persaingan</w:t>
            </w:r>
          </w:p>
          <w:p>
            <w:pPr>
              <w:numPr>
                <w:ilvl w:val="0"/>
                <w:numId w:val="62"/>
              </w:numPr>
              <w:autoSpaceDE w:val="0"/>
              <w:autoSpaceDN w:val="0"/>
              <w:adjustRightInd w:val="0"/>
              <w:spacing w:after="0" w:line="240" w:lineRule="auto"/>
              <w:ind w:left="459" w:hanging="44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Kompleksnya permasalahan yang harus ditangani berkaitan dengan pencapaian koperasi yang sehat dan berkualitas serta UMKM yang inovatif dan berdaya saing</w:t>
            </w:r>
          </w:p>
          <w:p>
            <w:pPr>
              <w:numPr>
                <w:ilvl w:val="0"/>
                <w:numId w:val="62"/>
              </w:numPr>
              <w:autoSpaceDE w:val="0"/>
              <w:autoSpaceDN w:val="0"/>
              <w:adjustRightInd w:val="0"/>
              <w:spacing w:after="0" w:line="240" w:lineRule="auto"/>
              <w:ind w:left="459" w:hanging="44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Masih rendahnya Kesadaran masyarakat dalam pengembangan Perkoperasian</w:t>
            </w:r>
          </w:p>
        </w:tc>
        <w:tc>
          <w:tcPr>
            <w:tcW w:w="5114" w:type="dxa"/>
            <w:tcBorders>
              <w:top w:val="nil"/>
              <w:left w:val="nil"/>
              <w:bottom w:val="single" w:color="auto" w:sz="4"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p>
            <w:pPr>
              <w:numPr>
                <w:ilvl w:val="0"/>
                <w:numId w:val="63"/>
              </w:numPr>
              <w:autoSpaceDE w:val="0"/>
              <w:autoSpaceDN w:val="0"/>
              <w:adjustRightInd w:val="0"/>
              <w:spacing w:after="0" w:line="240" w:lineRule="auto"/>
              <w:ind w:left="604"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Tersedianya Peraturan Bupati Kepulauan Selayar Nomor 49 Tahun 2022 tentang Kedudukan, Susunan Organisasi, Tugas dan Fungsi serta Tata Kerja Dinas Perdagangan, Koperasi, dan Usaha Kecil dan Menengah Kabupaten Kepulauan Selayar.</w:t>
            </w:r>
          </w:p>
          <w:p>
            <w:pPr>
              <w:numPr>
                <w:ilvl w:val="0"/>
                <w:numId w:val="63"/>
              </w:numPr>
              <w:autoSpaceDE w:val="0"/>
              <w:autoSpaceDN w:val="0"/>
              <w:adjustRightInd w:val="0"/>
              <w:spacing w:after="0" w:line="240" w:lineRule="auto"/>
              <w:ind w:left="604" w:hanging="426"/>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xml:space="preserve">Tersedianya keragaman bahan baku hasil pertanian, kehutanan dan perikanan kelautan yang bisa diolah sebagai produk unggulan dan inovatif melalui Koperasi dan Usaha Mikro Kecil Menengah. </w:t>
            </w:r>
          </w:p>
        </w:tc>
      </w:tr>
      <w:tr>
        <w:tblPrEx>
          <w:tblCellMar>
            <w:top w:w="0" w:type="dxa"/>
            <w:left w:w="108" w:type="dxa"/>
            <w:bottom w:w="0" w:type="dxa"/>
            <w:right w:w="108" w:type="dxa"/>
          </w:tblCellMar>
        </w:tblPrEx>
        <w:trPr>
          <w:trHeight w:val="9151" w:hRule="atLeast"/>
        </w:trPr>
        <w:tc>
          <w:tcPr>
            <w:tcW w:w="652" w:type="dxa"/>
            <w:tcBorders>
              <w:top w:val="single" w:color="auto" w:sz="4" w:space="0"/>
              <w:left w:val="single" w:color="auto" w:sz="4" w:space="0"/>
              <w:bottom w:val="single" w:color="000000" w:sz="8" w:space="0"/>
              <w:right w:val="single" w:color="000000" w:sz="8"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p>
        </w:tc>
        <w:tc>
          <w:tcPr>
            <w:tcW w:w="2950" w:type="dxa"/>
            <w:tcBorders>
              <w:top w:val="single" w:color="auto" w:sz="4" w:space="0"/>
              <w:left w:val="nil"/>
              <w:bottom w:val="single" w:color="000000" w:sz="8"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4336" w:type="dxa"/>
            <w:tcBorders>
              <w:top w:val="single" w:color="auto" w:sz="4" w:space="0"/>
              <w:left w:val="nil"/>
              <w:bottom w:val="single" w:color="000000" w:sz="8" w:space="0"/>
              <w:right w:val="single" w:color="000000" w:sz="8" w:space="0"/>
            </w:tcBorders>
            <w:shd w:val="clear" w:color="auto" w:fill="auto"/>
          </w:tcPr>
          <w:p>
            <w:pPr>
              <w:tabs>
                <w:tab w:val="left" w:pos="1701"/>
              </w:tabs>
              <w:autoSpaceDE w:val="0"/>
              <w:autoSpaceDN w:val="0"/>
              <w:adjustRightInd w:val="0"/>
              <w:spacing w:before="240" w:after="0" w:line="240" w:lineRule="auto"/>
              <w:ind w:left="445"/>
              <w:contextualSpacing/>
              <w:jc w:val="both"/>
              <w:rPr>
                <w:rFonts w:ascii="Bookman Old Style" w:hAnsi="Bookman Old Style" w:eastAsia="Times New Roman" w:cs="Tahoma"/>
                <w:color w:val="000000" w:themeColor="text1"/>
                <w:sz w:val="20"/>
                <w:szCs w:val="20"/>
                <w14:textFill>
                  <w14:solidFill>
                    <w14:schemeClr w14:val="tx1"/>
                  </w14:solidFill>
                </w14:textFill>
              </w:rPr>
            </w:pP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Pemetaan usaha yang potensial masih kurang</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Fasilitasi SDM, temu bisnis, bimbingan dan konsultasi KUKM belum optimal</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Banyaknya koperasi yang kondisinya sudah tidak sehat, karena kurang dikuasainya manajemen koperasi oleh pengurus maupun anggota</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Koperasi yang memerlukan bantuan fasilitas dalam mengembangkan usahanya masih banyak</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Akses pelaku usaha Koperasi terhadap layanan perbankan relatif rendah</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Masih kurangnya pelaku UKM mengakses dana bantuan baik hibah/dana bergulir</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imes New Roman"/>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Kepala desa dan lurah kurang merespon untuk memfasilitasi warganya</w:t>
            </w:r>
          </w:p>
          <w:p>
            <w:pPr>
              <w:numPr>
                <w:ilvl w:val="0"/>
                <w:numId w:val="61"/>
              </w:numPr>
              <w:autoSpaceDE w:val="0"/>
              <w:autoSpaceDN w:val="0"/>
              <w:adjustRightInd w:val="0"/>
              <w:spacing w:before="240" w:after="0" w:line="240" w:lineRule="auto"/>
              <w:ind w:left="445" w:hanging="425"/>
              <w:contextualSpacing/>
              <w:jc w:val="both"/>
              <w:rPr>
                <w:rFonts w:ascii="Bookman Old Style" w:hAnsi="Bookman Old Style" w:eastAsia="Times New Roman" w:cs="Times New Roman"/>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Masih banyak pelaku usaha yang tidak memiliki legalitas usaha (tidak memiliki identitas ( ktp )</w:t>
            </w:r>
          </w:p>
        </w:tc>
        <w:tc>
          <w:tcPr>
            <w:tcW w:w="3500" w:type="dxa"/>
            <w:tcBorders>
              <w:top w:val="single" w:color="auto" w:sz="4" w:space="0"/>
              <w:left w:val="nil"/>
              <w:bottom w:val="single" w:color="000000" w:sz="8" w:space="0"/>
              <w:right w:val="single" w:color="000000" w:sz="8" w:space="0"/>
            </w:tcBorders>
            <w:shd w:val="clear" w:color="auto" w:fill="auto"/>
          </w:tcPr>
          <w:p>
            <w:pPr>
              <w:tabs>
                <w:tab w:val="left" w:pos="1276"/>
              </w:tabs>
              <w:autoSpaceDE w:val="0"/>
              <w:autoSpaceDN w:val="0"/>
              <w:adjustRightInd w:val="0"/>
              <w:spacing w:after="0" w:line="240" w:lineRule="auto"/>
              <w:jc w:val="both"/>
              <w:rPr>
                <w:rFonts w:ascii="Bookman Old Style" w:hAnsi="Bookman Old Style" w:eastAsia="Times New Roman" w:cs="Times New Roman"/>
                <w:color w:val="000000" w:themeColor="text1"/>
                <w:sz w:val="20"/>
                <w:szCs w:val="20"/>
                <w14:textFill>
                  <w14:solidFill>
                    <w14:schemeClr w14:val="tx1"/>
                  </w14:solidFill>
                </w14:textFill>
              </w:rPr>
            </w:pPr>
          </w:p>
          <w:p>
            <w:pPr>
              <w:numPr>
                <w:ilvl w:val="0"/>
                <w:numId w:val="62"/>
              </w:numPr>
              <w:autoSpaceDE w:val="0"/>
              <w:autoSpaceDN w:val="0"/>
              <w:adjustRightInd w:val="0"/>
              <w:spacing w:after="0" w:line="240" w:lineRule="auto"/>
              <w:ind w:left="459" w:hanging="44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Perlunya rumah kemasan pusat kuliner dan oleh-oleh.</w:t>
            </w:r>
          </w:p>
          <w:p>
            <w:pPr>
              <w:numPr>
                <w:ilvl w:val="0"/>
                <w:numId w:val="62"/>
              </w:numPr>
              <w:autoSpaceDE w:val="0"/>
              <w:autoSpaceDN w:val="0"/>
              <w:adjustRightInd w:val="0"/>
              <w:spacing w:after="0" w:line="240" w:lineRule="auto"/>
              <w:ind w:left="459" w:hanging="44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 Kurangnya Pengetahuan Pelaku Usaha dalam menumbuh kembangkan kewirausahan. </w:t>
            </w:r>
          </w:p>
          <w:p>
            <w:pPr>
              <w:numPr>
                <w:ilvl w:val="0"/>
                <w:numId w:val="62"/>
              </w:numPr>
              <w:autoSpaceDE w:val="0"/>
              <w:autoSpaceDN w:val="0"/>
              <w:adjustRightInd w:val="0"/>
              <w:spacing w:after="0" w:line="240" w:lineRule="auto"/>
              <w:ind w:left="459" w:hanging="440"/>
              <w:contextualSpacing/>
              <w:jc w:val="both"/>
              <w:rPr>
                <w:rFonts w:ascii="Times New Roman" w:hAnsi="Times New Roman" w:eastAsia="Times New Roman" w:cs="Times New Roman"/>
                <w:sz w:val="24"/>
                <w:szCs w:val="20"/>
              </w:rPr>
            </w:pPr>
            <w:r>
              <w:rPr>
                <w:rFonts w:ascii="Bookman Old Style" w:hAnsi="Bookman Old Style" w:eastAsia="Times New Roman" w:cs="Times New Roman"/>
                <w:color w:val="000000" w:themeColor="text1"/>
                <w:sz w:val="20"/>
                <w:szCs w:val="20"/>
                <w14:textFill>
                  <w14:solidFill>
                    <w14:schemeClr w14:val="tx1"/>
                  </w14:solidFill>
                </w14:textFill>
              </w:rPr>
              <w:t>Kurangnya Pembinaan Bagi UMKM Penerima Bantuan Dana Bergulir</w:t>
            </w: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Times New Roman" w:hAnsi="Times New Roman" w:eastAsia="Times New Roman" w:cs="Times New Roman"/>
                <w:sz w:val="24"/>
                <w:szCs w:val="20"/>
              </w:rPr>
            </w:pPr>
          </w:p>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5114" w:type="dxa"/>
            <w:tcBorders>
              <w:top w:val="single" w:color="auto" w:sz="4" w:space="0"/>
              <w:left w:val="nil"/>
              <w:bottom w:val="single" w:color="000000" w:sz="8" w:space="0"/>
              <w:right w:val="single" w:color="000000" w:sz="8" w:space="0"/>
            </w:tcBorders>
            <w:shd w:val="clear" w:color="auto" w:fill="auto"/>
          </w:tcPr>
          <w:p>
            <w:pPr>
              <w:autoSpaceDE w:val="0"/>
              <w:autoSpaceDN w:val="0"/>
              <w:adjustRightInd w:val="0"/>
              <w:spacing w:after="0" w:line="240" w:lineRule="auto"/>
              <w:jc w:val="both"/>
              <w:rPr>
                <w:rFonts w:ascii="Bookman Old Style" w:hAnsi="Bookman Old Style" w:eastAsia="Times New Roman" w:cs="Tahoma"/>
                <w:color w:val="000000" w:themeColor="text1"/>
                <w:sz w:val="20"/>
                <w:szCs w:val="20"/>
                <w14:textFill>
                  <w14:solidFill>
                    <w14:schemeClr w14:val="tx1"/>
                  </w14:solidFill>
                </w14:textFill>
              </w:rPr>
            </w:pPr>
          </w:p>
          <w:p>
            <w:pPr>
              <w:numPr>
                <w:ilvl w:val="0"/>
                <w:numId w:val="63"/>
              </w:numPr>
              <w:autoSpaceDE w:val="0"/>
              <w:autoSpaceDN w:val="0"/>
              <w:adjustRightInd w:val="0"/>
              <w:spacing w:after="0" w:line="240" w:lineRule="auto"/>
              <w:ind w:left="604" w:hanging="426"/>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Peran Koperasi dan UMK yang merupakan prioritas unggulan pemerintah kabupaten yang akan diutamakan dalam pembangunan lima tahun ke depan.</w:t>
            </w:r>
          </w:p>
          <w:p>
            <w:pPr>
              <w:numPr>
                <w:ilvl w:val="0"/>
                <w:numId w:val="63"/>
              </w:numPr>
              <w:autoSpaceDE w:val="0"/>
              <w:autoSpaceDN w:val="0"/>
              <w:adjustRightInd w:val="0"/>
              <w:spacing w:after="0" w:line="240" w:lineRule="auto"/>
              <w:ind w:left="604" w:hanging="426"/>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Munculnya beberapa pelaku usaha baru dengan pasar online.</w:t>
            </w:r>
          </w:p>
        </w:tc>
      </w:tr>
    </w:tbl>
    <w:p>
      <w:pPr>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sectPr>
          <w:pgSz w:w="20160" w:h="12240" w:orient="landscape"/>
          <w:pgMar w:top="1134" w:right="2098" w:bottom="1701" w:left="1134" w:header="708" w:footer="2268" w:gutter="0"/>
          <w:cols w:space="708" w:num="1"/>
          <w:docGrid w:linePitch="360" w:charSpace="0"/>
        </w:sectPr>
      </w:pPr>
    </w:p>
    <w:tbl>
      <w:tblPr>
        <w:tblStyle w:val="4"/>
        <w:tblpPr w:leftFromText="180" w:rightFromText="180" w:vertAnchor="text" w:tblpX="534" w:tblpY="1"/>
        <w:tblOverlap w:val="never"/>
        <w:tblW w:w="16490" w:type="dxa"/>
        <w:tblInd w:w="0" w:type="dxa"/>
        <w:tblLayout w:type="fixed"/>
        <w:tblCellMar>
          <w:top w:w="0" w:type="dxa"/>
          <w:left w:w="108" w:type="dxa"/>
          <w:bottom w:w="0" w:type="dxa"/>
          <w:right w:w="108" w:type="dxa"/>
        </w:tblCellMar>
      </w:tblPr>
      <w:tblGrid>
        <w:gridCol w:w="678"/>
        <w:gridCol w:w="3440"/>
        <w:gridCol w:w="4406"/>
        <w:gridCol w:w="3220"/>
        <w:gridCol w:w="4746"/>
      </w:tblGrid>
      <w:tr>
        <w:tblPrEx>
          <w:tblCellMar>
            <w:top w:w="0" w:type="dxa"/>
            <w:left w:w="108" w:type="dxa"/>
            <w:bottom w:w="0" w:type="dxa"/>
            <w:right w:w="108" w:type="dxa"/>
          </w:tblCellMar>
        </w:tblPrEx>
        <w:trPr>
          <w:trHeight w:val="860" w:hRule="atLeast"/>
        </w:trPr>
        <w:tc>
          <w:tcPr>
            <w:tcW w:w="16490" w:type="dxa"/>
            <w:gridSpan w:val="5"/>
            <w:tcBorders>
              <w:top w:val="single" w:color="000000" w:sz="8" w:space="0"/>
              <w:left w:val="single" w:color="000000" w:sz="8" w:space="0"/>
              <w:bottom w:val="single" w:color="000000" w:sz="8" w:space="0"/>
              <w:right w:val="single" w:color="000000" w:sz="8" w:space="0"/>
            </w:tcBorders>
            <w:shd w:val="clear" w:color="000000" w:fill="FFD96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Visi : “Kepulauan Selayar sebagai Bandar Maritim Kawasan Timur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Indonesia”</w:t>
            </w:r>
          </w:p>
        </w:tc>
      </w:tr>
      <w:tr>
        <w:tblPrEx>
          <w:tblCellMar>
            <w:top w:w="0" w:type="dxa"/>
            <w:left w:w="108" w:type="dxa"/>
            <w:bottom w:w="0" w:type="dxa"/>
            <w:right w:w="108" w:type="dxa"/>
          </w:tblCellMar>
        </w:tblPrEx>
        <w:trPr>
          <w:trHeight w:val="317" w:hRule="atLeast"/>
        </w:trPr>
        <w:tc>
          <w:tcPr>
            <w:tcW w:w="678"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No</w:t>
            </w:r>
          </w:p>
        </w:tc>
        <w:tc>
          <w:tcPr>
            <w:tcW w:w="3440"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Misi dan Program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 xml:space="preserve">KDH dan Wakil KDH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 xml:space="preserve">terpilih </w:t>
            </w:r>
          </w:p>
        </w:tc>
        <w:tc>
          <w:tcPr>
            <w:tcW w:w="4406" w:type="dxa"/>
            <w:vMerge w:val="restart"/>
            <w:tcBorders>
              <w:top w:val="nil"/>
              <w:left w:val="single" w:color="000000" w:sz="8" w:space="0"/>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Permasalahan Pelayanan </w:t>
            </w:r>
            <w:r>
              <w:rPr>
                <w:rFonts w:ascii="Bookman Old Style" w:hAnsi="Bookman Old Style" w:eastAsia="Times New Roman" w:cs="Tahoma"/>
                <w:b/>
                <w:bCs/>
                <w:color w:val="000000" w:themeColor="text1"/>
                <w:sz w:val="20"/>
                <w:szCs w:val="20"/>
                <w14:textFill>
                  <w14:solidFill>
                    <w14:schemeClr w14:val="tx1"/>
                  </w14:solidFill>
                </w14:textFill>
              </w:rPr>
              <w:br w:type="textWrapping"/>
            </w:r>
            <w:r>
              <w:rPr>
                <w:rFonts w:ascii="Bookman Old Style" w:hAnsi="Bookman Old Style" w:eastAsia="Times New Roman" w:cs="Tahoma"/>
                <w:b/>
                <w:bCs/>
                <w:color w:val="000000" w:themeColor="text1"/>
                <w:sz w:val="20"/>
                <w:szCs w:val="20"/>
                <w14:textFill>
                  <w14:solidFill>
                    <w14:schemeClr w14:val="tx1"/>
                  </w14:solidFill>
                </w14:textFill>
              </w:rPr>
              <w:t>OPD DISIDAG KUKM</w:t>
            </w:r>
          </w:p>
        </w:tc>
        <w:tc>
          <w:tcPr>
            <w:tcW w:w="7965" w:type="dxa"/>
            <w:gridSpan w:val="2"/>
            <w:tcBorders>
              <w:top w:val="single" w:color="000000" w:sz="8" w:space="0"/>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Faktor</w:t>
            </w:r>
          </w:p>
        </w:tc>
      </w:tr>
      <w:tr>
        <w:tblPrEx>
          <w:tblCellMar>
            <w:top w:w="0" w:type="dxa"/>
            <w:left w:w="108" w:type="dxa"/>
            <w:bottom w:w="0" w:type="dxa"/>
            <w:right w:w="108" w:type="dxa"/>
          </w:tblCellMar>
        </w:tblPrEx>
        <w:trPr>
          <w:trHeight w:val="483" w:hRule="atLeast"/>
        </w:trPr>
        <w:tc>
          <w:tcPr>
            <w:tcW w:w="678"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3440"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4406" w:type="dxa"/>
            <w:vMerge w:val="continue"/>
            <w:tcBorders>
              <w:top w:val="nil"/>
              <w:left w:val="single" w:color="000000" w:sz="8" w:space="0"/>
              <w:bottom w:val="single" w:color="000000" w:sz="8" w:space="0"/>
              <w:right w:val="single" w:color="000000" w:sz="8"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3220" w:type="dxa"/>
            <w:tcBorders>
              <w:top w:val="nil"/>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Penghambat</w:t>
            </w:r>
          </w:p>
        </w:tc>
        <w:tc>
          <w:tcPr>
            <w:tcW w:w="4745" w:type="dxa"/>
            <w:tcBorders>
              <w:top w:val="nil"/>
              <w:left w:val="nil"/>
              <w:bottom w:val="single" w:color="000000" w:sz="8" w:space="0"/>
              <w:right w:val="single" w:color="000000" w:sz="8" w:space="0"/>
            </w:tcBorders>
            <w:shd w:val="clear" w:color="000000" w:fill="F4B08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Pendorong</w:t>
            </w:r>
          </w:p>
        </w:tc>
      </w:tr>
      <w:tr>
        <w:tblPrEx>
          <w:tblCellMar>
            <w:top w:w="0" w:type="dxa"/>
            <w:left w:w="108" w:type="dxa"/>
            <w:bottom w:w="0" w:type="dxa"/>
            <w:right w:w="108" w:type="dxa"/>
          </w:tblCellMar>
        </w:tblPrEx>
        <w:trPr>
          <w:trHeight w:val="317" w:hRule="atLeast"/>
        </w:trPr>
        <w:tc>
          <w:tcPr>
            <w:tcW w:w="678" w:type="dxa"/>
            <w:tcBorders>
              <w:top w:val="nil"/>
              <w:left w:val="single" w:color="000000" w:sz="8" w:space="0"/>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(1)</w:t>
            </w:r>
          </w:p>
        </w:tc>
        <w:tc>
          <w:tcPr>
            <w:tcW w:w="3440"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w:t>
            </w:r>
          </w:p>
        </w:tc>
        <w:tc>
          <w:tcPr>
            <w:tcW w:w="4406"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(3)</w:t>
            </w:r>
          </w:p>
        </w:tc>
        <w:tc>
          <w:tcPr>
            <w:tcW w:w="3220"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(4)</w:t>
            </w:r>
          </w:p>
        </w:tc>
        <w:tc>
          <w:tcPr>
            <w:tcW w:w="4745" w:type="dxa"/>
            <w:tcBorders>
              <w:top w:val="nil"/>
              <w:left w:val="nil"/>
              <w:bottom w:val="single" w:color="000000" w:sz="8" w:space="0"/>
              <w:right w:val="single" w:color="000000" w:sz="8" w:space="0"/>
            </w:tcBorders>
            <w:shd w:val="clear" w:color="000000" w:fill="C4BC96"/>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(5)</w:t>
            </w:r>
          </w:p>
        </w:tc>
      </w:tr>
      <w:tr>
        <w:tblPrEx>
          <w:tblCellMar>
            <w:top w:w="0" w:type="dxa"/>
            <w:left w:w="108" w:type="dxa"/>
            <w:bottom w:w="0" w:type="dxa"/>
            <w:right w:w="108" w:type="dxa"/>
          </w:tblCellMar>
        </w:tblPrEx>
        <w:trPr>
          <w:trHeight w:val="699" w:hRule="atLeast"/>
        </w:trPr>
        <w:tc>
          <w:tcPr>
            <w:tcW w:w="678" w:type="dxa"/>
            <w:tcBorders>
              <w:top w:val="nil"/>
              <w:left w:val="single" w:color="000000" w:sz="8" w:space="0"/>
              <w:bottom w:val="single" w:color="000000" w:sz="8" w:space="0"/>
              <w:right w:val="single" w:color="000000" w:sz="8"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2.</w:t>
            </w:r>
          </w:p>
        </w:tc>
        <w:tc>
          <w:tcPr>
            <w:tcW w:w="3440" w:type="dxa"/>
            <w:tcBorders>
              <w:top w:val="nil"/>
              <w:left w:val="nil"/>
              <w:bottom w:val="single" w:color="000000" w:sz="8"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Misi 3 : Meningkatkan kualitas hidup masyarakat</w:t>
            </w:r>
          </w:p>
        </w:tc>
        <w:tc>
          <w:tcPr>
            <w:tcW w:w="4406" w:type="dxa"/>
            <w:tcBorders>
              <w:top w:val="nil"/>
              <w:left w:val="nil"/>
              <w:bottom w:val="single" w:color="000000" w:sz="8" w:space="0"/>
              <w:right w:val="single" w:color="000000" w:sz="8" w:space="0"/>
            </w:tcBorders>
            <w:shd w:val="clear" w:color="auto" w:fill="auto"/>
          </w:tcPr>
          <w:p>
            <w:pPr>
              <w:widowControl w:val="0"/>
              <w:numPr>
                <w:ilvl w:val="0"/>
                <w:numId w:val="64"/>
              </w:numPr>
              <w:autoSpaceDE w:val="0"/>
              <w:autoSpaceDN w:val="0"/>
              <w:spacing w:before="140" w:after="0" w:line="240" w:lineRule="auto"/>
              <w:ind w:left="417" w:hanging="425"/>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Kapasitas Usaha yang rendah karena kurangnya ilmu pengetahuan dan teknologi belum berkembang.</w:t>
            </w:r>
          </w:p>
          <w:p>
            <w:pPr>
              <w:widowControl w:val="0"/>
              <w:numPr>
                <w:ilvl w:val="0"/>
                <w:numId w:val="64"/>
              </w:numPr>
              <w:autoSpaceDE w:val="0"/>
              <w:autoSpaceDN w:val="0"/>
              <w:spacing w:before="140" w:after="0" w:line="240" w:lineRule="auto"/>
              <w:ind w:left="417" w:hanging="425"/>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Koordinasi dengan pihak terkait dalam rangka pemberdayaan KUKM masih kurang.</w:t>
            </w:r>
          </w:p>
          <w:p>
            <w:pPr>
              <w:widowControl w:val="0"/>
              <w:numPr>
                <w:ilvl w:val="0"/>
                <w:numId w:val="64"/>
              </w:numPr>
              <w:autoSpaceDE w:val="0"/>
              <w:autoSpaceDN w:val="0"/>
              <w:spacing w:before="140" w:after="0" w:line="240" w:lineRule="auto"/>
              <w:ind w:left="417" w:hanging="425"/>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Pelaku KUKM masih banyak yang belum di berdayakan.</w:t>
            </w:r>
          </w:p>
          <w:p>
            <w:pPr>
              <w:widowControl w:val="0"/>
              <w:numPr>
                <w:ilvl w:val="0"/>
                <w:numId w:val="64"/>
              </w:numPr>
              <w:autoSpaceDE w:val="0"/>
              <w:autoSpaceDN w:val="0"/>
              <w:spacing w:before="140" w:after="0" w:line="240" w:lineRule="auto"/>
              <w:ind w:left="417" w:hanging="425"/>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Kurangnya fasilitas bagi pelaku usaha yang berada dikepulauan</w:t>
            </w:r>
          </w:p>
        </w:tc>
        <w:tc>
          <w:tcPr>
            <w:tcW w:w="3220" w:type="dxa"/>
            <w:tcBorders>
              <w:top w:val="nil"/>
              <w:left w:val="nil"/>
              <w:bottom w:val="single" w:color="000000" w:sz="8" w:space="0"/>
              <w:right w:val="single" w:color="000000" w:sz="8" w:space="0"/>
            </w:tcBorders>
            <w:shd w:val="clear" w:color="auto" w:fill="auto"/>
          </w:tcPr>
          <w:p>
            <w:pPr>
              <w:tabs>
                <w:tab w:val="left" w:pos="55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   Masih rendahnya SDM Pengurus dan Pengelola Koperasi.</w:t>
            </w:r>
          </w:p>
          <w:p>
            <w:pPr>
              <w:tabs>
                <w:tab w:val="left" w:pos="55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   Belum maksimalnya peralatan dan permodalan bagi UMKM</w:t>
            </w:r>
          </w:p>
          <w:p>
            <w:pPr>
              <w:tabs>
                <w:tab w:val="left" w:pos="55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3.    Kurangnya produk UMKM yang memiliki stander pasar.</w:t>
            </w:r>
          </w:p>
          <w:p>
            <w:pPr>
              <w:tabs>
                <w:tab w:val="left" w:pos="55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4.    Rendahnya keinginan masyarakat untuk cinta produk lokal.</w:t>
            </w:r>
          </w:p>
          <w:p>
            <w:pPr>
              <w:tabs>
                <w:tab w:val="left" w:pos="55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p>
          <w:p>
            <w:pPr>
              <w:tabs>
                <w:tab w:val="left" w:pos="558"/>
                <w:tab w:val="left" w:pos="1418"/>
              </w:tabs>
              <w:autoSpaceDE w:val="0"/>
              <w:autoSpaceDN w:val="0"/>
              <w:adjustRightInd w:val="0"/>
              <w:spacing w:after="0" w:line="240" w:lineRule="auto"/>
              <w:ind w:left="558" w:hanging="425"/>
              <w:rPr>
                <w:rFonts w:ascii="Bookman Old Style" w:hAnsi="Bookman Old Style" w:eastAsia="Times New Roman" w:cs="Times New Roman"/>
                <w:color w:val="000000" w:themeColor="text1"/>
                <w:sz w:val="20"/>
                <w:szCs w:val="20"/>
                <w14:textFill>
                  <w14:solidFill>
                    <w14:schemeClr w14:val="tx1"/>
                  </w14:solidFill>
                </w14:textFill>
              </w:rPr>
            </w:pPr>
          </w:p>
          <w:p>
            <w:pPr>
              <w:tabs>
                <w:tab w:val="left" w:pos="558"/>
                <w:tab w:val="left" w:pos="1418"/>
              </w:tabs>
              <w:autoSpaceDE w:val="0"/>
              <w:autoSpaceDN w:val="0"/>
              <w:adjustRightInd w:val="0"/>
              <w:spacing w:after="0" w:line="240" w:lineRule="auto"/>
              <w:ind w:left="558" w:hanging="425"/>
              <w:rPr>
                <w:rFonts w:ascii="Bookman Old Style" w:hAnsi="Bookman Old Style" w:eastAsia="Times New Roman" w:cs="Tahoma"/>
                <w:color w:val="000000" w:themeColor="text1"/>
                <w:sz w:val="20"/>
                <w:szCs w:val="20"/>
                <w14:textFill>
                  <w14:solidFill>
                    <w14:schemeClr w14:val="tx1"/>
                  </w14:solidFill>
                </w14:textFill>
              </w:rPr>
            </w:pPr>
          </w:p>
        </w:tc>
        <w:tc>
          <w:tcPr>
            <w:tcW w:w="4745" w:type="dxa"/>
            <w:tcBorders>
              <w:top w:val="nil"/>
              <w:left w:val="nil"/>
              <w:bottom w:val="single" w:color="000000" w:sz="8" w:space="0"/>
              <w:right w:val="single" w:color="000000" w:sz="8" w:space="0"/>
            </w:tcBorders>
            <w:shd w:val="clear" w:color="auto" w:fill="auto"/>
          </w:tcPr>
          <w:p>
            <w:pPr>
              <w:numPr>
                <w:ilvl w:val="0"/>
                <w:numId w:val="65"/>
              </w:numPr>
              <w:autoSpaceDE w:val="0"/>
              <w:autoSpaceDN w:val="0"/>
              <w:adjustRightInd w:val="0"/>
              <w:spacing w:after="0" w:line="240" w:lineRule="auto"/>
              <w:ind w:left="417"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Perdagangan, koperasi dan Usaha Kecil dan Menengah dapat didorong menjadi motor penggerak perekonomian.</w:t>
            </w:r>
          </w:p>
          <w:p>
            <w:pPr>
              <w:numPr>
                <w:ilvl w:val="0"/>
                <w:numId w:val="65"/>
              </w:numPr>
              <w:autoSpaceDE w:val="0"/>
              <w:autoSpaceDN w:val="0"/>
              <w:adjustRightInd w:val="0"/>
              <w:spacing w:after="0" w:line="240" w:lineRule="auto"/>
              <w:ind w:left="417"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Semakin luasnya prospek penciptaan pasar di dunia maya.</w:t>
            </w:r>
          </w:p>
        </w:tc>
      </w:tr>
      <w:tr>
        <w:tblPrEx>
          <w:tblCellMar>
            <w:top w:w="0" w:type="dxa"/>
            <w:left w:w="108" w:type="dxa"/>
            <w:bottom w:w="0" w:type="dxa"/>
            <w:right w:w="108" w:type="dxa"/>
          </w:tblCellMar>
        </w:tblPrEx>
        <w:trPr>
          <w:trHeight w:val="5934" w:hRule="atLeast"/>
        </w:trPr>
        <w:tc>
          <w:tcPr>
            <w:tcW w:w="678" w:type="dxa"/>
            <w:tcBorders>
              <w:top w:val="single" w:color="000000" w:sz="8" w:space="0"/>
              <w:left w:val="single" w:color="000000" w:sz="8" w:space="0"/>
              <w:bottom w:val="single" w:color="auto" w:sz="4" w:space="0"/>
              <w:right w:val="single" w:color="000000" w:sz="8"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3</w:t>
            </w:r>
          </w:p>
        </w:tc>
        <w:tc>
          <w:tcPr>
            <w:tcW w:w="3440" w:type="dxa"/>
            <w:tcBorders>
              <w:top w:val="single" w:color="000000" w:sz="8" w:space="0"/>
              <w:left w:val="single" w:color="000000" w:sz="8" w:space="0"/>
              <w:bottom w:val="single" w:color="auto" w:sz="4"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Misi 4 : Mengembangkan pengelolaan potensi kemaritiman</w:t>
            </w:r>
          </w:p>
        </w:tc>
        <w:tc>
          <w:tcPr>
            <w:tcW w:w="4406" w:type="dxa"/>
            <w:tcBorders>
              <w:top w:val="single" w:color="000000" w:sz="8" w:space="0"/>
              <w:left w:val="single" w:color="000000" w:sz="8" w:space="0"/>
              <w:bottom w:val="single" w:color="auto" w:sz="4" w:space="0"/>
              <w:right w:val="single" w:color="000000" w:sz="8" w:space="0"/>
            </w:tcBorders>
            <w:shd w:val="clear" w:color="auto" w:fill="auto"/>
          </w:tcPr>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 K</w:t>
            </w:r>
            <w:r>
              <w:rPr>
                <w:rFonts w:ascii="Bookman Old Style" w:hAnsi="Bookman Old Style" w:eastAsia="Times New Roman" w:cs="Times New Roman"/>
                <w:color w:val="000000" w:themeColor="text1"/>
                <w:sz w:val="20"/>
                <w:szCs w:val="20"/>
                <w14:textFill>
                  <w14:solidFill>
                    <w14:schemeClr w14:val="tx1"/>
                  </w14:solidFill>
                </w14:textFill>
              </w:rPr>
              <w:t>elangkaan, barang dan instabilitas harga</w:t>
            </w:r>
            <w:r>
              <w:rPr>
                <w:rFonts w:ascii="Bookman Old Style" w:hAnsi="Bookman Old Style" w:eastAsia="Times New Roman" w:cs="Tahoma"/>
                <w:color w:val="000000" w:themeColor="text1"/>
                <w:sz w:val="20"/>
                <w:szCs w:val="20"/>
                <w14:textFill>
                  <w14:solidFill>
                    <w14:schemeClr w14:val="tx1"/>
                  </w14:solidFill>
                </w14:textFill>
              </w:rPr>
              <w:t xml:space="preserve"> </w:t>
            </w:r>
            <w:r>
              <w:rPr>
                <w:rFonts w:ascii="Bookman Old Style" w:hAnsi="Bookman Old Style" w:eastAsia="Times New Roman" w:cs="Times New Roman"/>
                <w:color w:val="000000" w:themeColor="text1"/>
                <w:sz w:val="20"/>
                <w:szCs w:val="20"/>
                <w14:textFill>
                  <w14:solidFill>
                    <w14:schemeClr w14:val="tx1"/>
                  </w14:solidFill>
                </w14:textFill>
              </w:rPr>
              <w:t xml:space="preserve"> masih seringnya terjadi</w:t>
            </w:r>
          </w:p>
          <w:p>
            <w:pPr>
              <w:spacing w:after="0" w:line="240" w:lineRule="auto"/>
              <w:ind w:left="275" w:hanging="27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 Upaya penimbunan produk  masih seringnya terjadi</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3. S</w:t>
            </w:r>
            <w:r>
              <w:rPr>
                <w:rFonts w:ascii="Bookman Old Style" w:hAnsi="Bookman Old Style" w:eastAsia="Times New Roman" w:cs="Tahoma"/>
                <w:color w:val="000000" w:themeColor="text1"/>
                <w:sz w:val="20"/>
                <w:szCs w:val="20"/>
                <w14:textFill>
                  <w14:solidFill>
                    <w14:schemeClr w14:val="tx1"/>
                  </w14:solidFill>
                </w14:textFill>
              </w:rPr>
              <w:t>istem distribusi barang kebutuhan pokok dan strategis melalui conternisasi yang efektif dan efisien  belum optimal</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4. Sarana dan prasarana logistik, seperti sarana transportasi (akses dan alat angkut), sarana pergudangan dan keterampilan SDM  belum memadai</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5. Penggunaan barang impor yang relatif lebih terjangkau harganya  masih tinggi</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6. Produk-produk dalam daerah yang masih perlu ditingkatkan kualitasnya agar mempunyai daya saing</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7. Ketersediaan stok dan disparitas harga dan bahan pokok masih rendah</w:t>
            </w:r>
          </w:p>
          <w:p>
            <w:pPr>
              <w:spacing w:after="0" w:line="240" w:lineRule="auto"/>
              <w:ind w:left="275" w:hanging="27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8. Fasilitas kendaraan operasional kemetrologian belum tersedia</w:t>
            </w:r>
          </w:p>
          <w:p>
            <w:pPr>
              <w:spacing w:after="0" w:line="240" w:lineRule="auto"/>
              <w:ind w:left="133"/>
              <w:rPr>
                <w:rFonts w:ascii="Bookman Old Style" w:hAnsi="Bookman Old Style" w:eastAsia="Times New Roman" w:cs="Tahoma"/>
                <w:color w:val="000000" w:themeColor="text1"/>
                <w:sz w:val="20"/>
                <w:szCs w:val="20"/>
                <w14:textFill>
                  <w14:solidFill>
                    <w14:schemeClr w14:val="tx1"/>
                  </w14:solidFill>
                </w14:textFill>
              </w:rPr>
            </w:pPr>
          </w:p>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220" w:type="dxa"/>
            <w:tcBorders>
              <w:top w:val="single" w:color="000000" w:sz="8" w:space="0"/>
              <w:left w:val="single" w:color="000000" w:sz="8" w:space="0"/>
              <w:bottom w:val="single" w:color="auto" w:sz="4" w:space="0"/>
              <w:right w:val="single" w:color="000000" w:sz="8" w:space="0"/>
            </w:tcBorders>
            <w:shd w:val="clear" w:color="auto" w:fill="auto"/>
          </w:tcPr>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  Terbatasnya Pelaku Usaha yang berorientasi ekspor dan memiliki kemampuan mengakses informasi pasar.</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2.  Belum optimalnya penataan dan Pengelolaan Pasar Tradisional. </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3.  Belum maksimalnya penataan dan pembinaan pedagang. </w:t>
            </w:r>
          </w:p>
          <w:p>
            <w:pPr>
              <w:tabs>
                <w:tab w:val="left" w:pos="417"/>
              </w:tabs>
              <w:autoSpaceDE w:val="0"/>
              <w:autoSpaceDN w:val="0"/>
              <w:adjustRightInd w:val="0"/>
              <w:spacing w:after="0" w:line="240" w:lineRule="auto"/>
              <w:ind w:left="417" w:hanging="42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4.   </w:t>
            </w:r>
            <w:r>
              <w:rPr>
                <w:rFonts w:ascii="Bookman Old Style" w:hAnsi="Bookman Old Style" w:eastAsia="Times New Roman" w:cs="Tahoma"/>
                <w:color w:val="000000" w:themeColor="text1"/>
                <w:sz w:val="20"/>
                <w:szCs w:val="20"/>
                <w:lang w:val="sv-SE"/>
                <w14:textFill>
                  <w14:solidFill>
                    <w14:schemeClr w14:val="tx1"/>
                  </w14:solidFill>
                </w14:textFill>
              </w:rPr>
              <w:t>Masih terbatasnya kegiatan investasi khususnya terkait kegiatan distribusi logistik yakni p</w:t>
            </w:r>
            <w:r>
              <w:rPr>
                <w:rFonts w:ascii="Bookman Old Style" w:hAnsi="Bookman Old Style" w:eastAsia="Times New Roman" w:cs="Tahoma"/>
                <w:color w:val="000000" w:themeColor="text1"/>
                <w:sz w:val="20"/>
                <w:szCs w:val="20"/>
                <w14:textFill>
                  <w14:solidFill>
                    <w14:schemeClr w14:val="tx1"/>
                  </w14:solidFill>
                </w14:textFill>
              </w:rPr>
              <w:t>erdagangan antar pulau terkendala sarana transportasi</w:t>
            </w:r>
          </w:p>
          <w:p>
            <w:pPr>
              <w:tabs>
                <w:tab w:val="left" w:pos="417"/>
              </w:tabs>
              <w:autoSpaceDE w:val="0"/>
              <w:autoSpaceDN w:val="0"/>
              <w:adjustRightInd w:val="0"/>
              <w:spacing w:after="0" w:line="240" w:lineRule="auto"/>
              <w:ind w:left="417" w:hanging="425"/>
              <w:rPr>
                <w:rFonts w:ascii="Bookman Old Style" w:hAnsi="Bookman Old Style" w:eastAsia="Times New Roman" w:cs="Tahoma"/>
                <w:color w:val="000000" w:themeColor="text1"/>
                <w:sz w:val="20"/>
                <w:szCs w:val="20"/>
                <w:lang w:val="sv-SE"/>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5.</w:t>
            </w:r>
            <w:r>
              <w:rPr>
                <w:rFonts w:ascii="Bookman Old Style" w:hAnsi="Bookman Old Style" w:eastAsia="Times New Roman" w:cs="Times New Roman"/>
                <w:color w:val="000000" w:themeColor="text1"/>
                <w:sz w:val="20"/>
                <w:szCs w:val="20"/>
                <w14:textFill>
                  <w14:solidFill>
                    <w14:schemeClr w14:val="tx1"/>
                  </w14:solidFill>
                </w14:textFill>
              </w:rPr>
              <w:t xml:space="preserve">  </w:t>
            </w:r>
            <w:r>
              <w:rPr>
                <w:rFonts w:ascii="Bookman Old Style" w:hAnsi="Bookman Old Style" w:eastAsia="Times New Roman" w:cs="Tahoma"/>
                <w:color w:val="000000" w:themeColor="text1"/>
                <w:sz w:val="20"/>
                <w:szCs w:val="20"/>
                <w:lang w:val="sv-SE"/>
                <w14:textFill>
                  <w14:solidFill>
                    <w14:schemeClr w14:val="tx1"/>
                  </w14:solidFill>
                </w14:textFill>
              </w:rPr>
              <w:t>Meningkatnya harga barang kebutuhan masyarakat</w:t>
            </w:r>
          </w:p>
          <w:p>
            <w:pPr>
              <w:tabs>
                <w:tab w:val="left" w:pos="417"/>
              </w:tabs>
              <w:autoSpaceDE w:val="0"/>
              <w:autoSpaceDN w:val="0"/>
              <w:adjustRightInd w:val="0"/>
              <w:spacing w:after="0" w:line="240" w:lineRule="auto"/>
              <w:ind w:left="417" w:hanging="425"/>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lang w:val="sv-SE"/>
                <w14:textFill>
                  <w14:solidFill>
                    <w14:schemeClr w14:val="tx1"/>
                  </w14:solidFill>
                </w14:textFill>
              </w:rPr>
              <w:t xml:space="preserve">6. </w:t>
            </w:r>
            <w:r>
              <w:rPr>
                <w:rFonts w:ascii="Bookman Old Style" w:hAnsi="Bookman Old Style" w:eastAsia="Times New Roman" w:cs="Times New Roman"/>
                <w:color w:val="000000" w:themeColor="text1"/>
                <w:sz w:val="20"/>
                <w:szCs w:val="20"/>
                <w14:textFill>
                  <w14:solidFill>
                    <w14:schemeClr w14:val="tx1"/>
                  </w14:solidFill>
                </w14:textFill>
              </w:rPr>
              <w:t xml:space="preserve">  </w:t>
            </w:r>
            <w:r>
              <w:rPr>
                <w:rFonts w:ascii="Bookman Old Style" w:hAnsi="Bookman Old Style" w:eastAsia="Times New Roman" w:cs="Tahoma"/>
                <w:color w:val="000000" w:themeColor="text1"/>
                <w:sz w:val="20"/>
                <w:szCs w:val="20"/>
                <w14:textFill>
                  <w14:solidFill>
                    <w14:schemeClr w14:val="tx1"/>
                  </w14:solidFill>
                </w14:textFill>
              </w:rPr>
              <w:t>Kurang kondusifnya iklim usaha</w:t>
            </w:r>
          </w:p>
          <w:p>
            <w:pPr>
              <w:tabs>
                <w:tab w:val="left" w:pos="417"/>
              </w:tabs>
              <w:autoSpaceDE w:val="0"/>
              <w:autoSpaceDN w:val="0"/>
              <w:adjustRightInd w:val="0"/>
              <w:spacing w:after="0" w:line="240" w:lineRule="auto"/>
              <w:ind w:left="417" w:hanging="425"/>
              <w:rPr>
                <w:rFonts w:ascii="Bookman Old Style" w:hAnsi="Bookman Old Style" w:eastAsia="Times New Roman" w:cs="Tahoma"/>
                <w:color w:val="000000" w:themeColor="text1"/>
                <w:sz w:val="20"/>
                <w:szCs w:val="20"/>
                <w14:textFill>
                  <w14:solidFill>
                    <w14:schemeClr w14:val="tx1"/>
                  </w14:solidFill>
                </w14:textFill>
              </w:rPr>
            </w:pPr>
          </w:p>
          <w:p>
            <w:pPr>
              <w:tabs>
                <w:tab w:val="left" w:pos="417"/>
              </w:tabs>
              <w:autoSpaceDE w:val="0"/>
              <w:autoSpaceDN w:val="0"/>
              <w:adjustRightInd w:val="0"/>
              <w:spacing w:after="0" w:line="240" w:lineRule="auto"/>
              <w:ind w:left="417" w:hanging="425"/>
              <w:rPr>
                <w:rFonts w:ascii="Bookman Old Style" w:hAnsi="Bookman Old Style" w:eastAsia="Times New Roman" w:cs="Tahoma"/>
                <w:color w:val="000000" w:themeColor="text1"/>
                <w:sz w:val="20"/>
                <w:szCs w:val="20"/>
                <w14:textFill>
                  <w14:solidFill>
                    <w14:schemeClr w14:val="tx1"/>
                  </w14:solidFill>
                </w14:textFill>
              </w:rPr>
            </w:pP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p>
        </w:tc>
        <w:tc>
          <w:tcPr>
            <w:tcW w:w="4745" w:type="dxa"/>
            <w:tcBorders>
              <w:top w:val="single" w:color="000000" w:sz="8" w:space="0"/>
              <w:left w:val="single" w:color="000000" w:sz="8" w:space="0"/>
              <w:bottom w:val="single" w:color="auto" w:sz="4" w:space="0"/>
              <w:right w:val="single" w:color="000000" w:sz="8" w:space="0"/>
            </w:tcBorders>
            <w:shd w:val="clear" w:color="auto" w:fill="auto"/>
          </w:tcPr>
          <w:p>
            <w:pPr>
              <w:numPr>
                <w:ilvl w:val="0"/>
                <w:numId w:val="66"/>
              </w:numPr>
              <w:autoSpaceDE w:val="0"/>
              <w:autoSpaceDN w:val="0"/>
              <w:adjustRightInd w:val="0"/>
              <w:spacing w:after="0" w:line="240" w:lineRule="auto"/>
              <w:ind w:left="276"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xml:space="preserve">Perdagangan, Koperasi Usaha Kecil dan Menengah dapat didorong menjadi motor penggerak perekonomian. </w:t>
            </w:r>
          </w:p>
          <w:p>
            <w:pPr>
              <w:numPr>
                <w:ilvl w:val="0"/>
                <w:numId w:val="66"/>
              </w:numPr>
              <w:autoSpaceDE w:val="0"/>
              <w:autoSpaceDN w:val="0"/>
              <w:adjustRightInd w:val="0"/>
              <w:spacing w:after="0" w:line="240" w:lineRule="auto"/>
              <w:ind w:left="276" w:hanging="284"/>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xml:space="preserve">Tingginya komitmen dan dukungan pemerintah daerah dan masyarakat terhadap pembangunan ekonomi rakyat sebagai pelaku utama dalam perekonomian daerah. </w:t>
            </w:r>
          </w:p>
          <w:p>
            <w:pPr>
              <w:numPr>
                <w:ilvl w:val="0"/>
                <w:numId w:val="66"/>
              </w:numPr>
              <w:autoSpaceDE w:val="0"/>
              <w:autoSpaceDN w:val="0"/>
              <w:adjustRightInd w:val="0"/>
              <w:spacing w:after="0" w:line="240" w:lineRule="auto"/>
              <w:ind w:left="276" w:hanging="284"/>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xml:space="preserve">Secara geografis </w:t>
            </w:r>
            <w:r>
              <w:rPr>
                <w:rFonts w:ascii="Bookman Old Style" w:hAnsi="Bookman Old Style" w:eastAsia="Times New Roman" w:cs="Tahoma"/>
                <w:color w:val="000000" w:themeColor="text1"/>
                <w:sz w:val="20"/>
                <w:szCs w:val="20"/>
                <w:lang w:val="sv-SE"/>
                <w14:textFill>
                  <w14:solidFill>
                    <w14:schemeClr w14:val="tx1"/>
                  </w14:solidFill>
                </w14:textFill>
              </w:rPr>
              <w:t>Posisi Strategis Kabupaten Kepulauan Selayar  yang berada di tengah-tengah bentang barat dan timur NKRI</w:t>
            </w:r>
          </w:p>
        </w:tc>
      </w:tr>
      <w:tr>
        <w:tblPrEx>
          <w:tblCellMar>
            <w:top w:w="0" w:type="dxa"/>
            <w:left w:w="108" w:type="dxa"/>
            <w:bottom w:w="0" w:type="dxa"/>
            <w:right w:w="108" w:type="dxa"/>
          </w:tblCellMar>
        </w:tblPrEx>
        <w:trPr>
          <w:trHeight w:val="5523" w:hRule="atLeast"/>
        </w:trPr>
        <w:tc>
          <w:tcPr>
            <w:tcW w:w="678" w:type="dxa"/>
            <w:tcBorders>
              <w:top w:val="single" w:color="auto" w:sz="4" w:space="0"/>
              <w:left w:val="single" w:color="000000" w:sz="8" w:space="0"/>
              <w:bottom w:val="single" w:color="000000" w:sz="8" w:space="0"/>
              <w:right w:val="single" w:color="000000" w:sz="8"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p>
        </w:tc>
        <w:tc>
          <w:tcPr>
            <w:tcW w:w="3440" w:type="dxa"/>
            <w:tcBorders>
              <w:top w:val="single" w:color="auto" w:sz="4" w:space="0"/>
              <w:left w:val="nil"/>
              <w:bottom w:val="single" w:color="000000" w:sz="8"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4406" w:type="dxa"/>
            <w:tcBorders>
              <w:top w:val="single" w:color="auto" w:sz="4" w:space="0"/>
              <w:left w:val="nil"/>
              <w:bottom w:val="single" w:color="000000" w:sz="8" w:space="0"/>
              <w:right w:val="single" w:color="000000" w:sz="8"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220" w:type="dxa"/>
            <w:tcBorders>
              <w:top w:val="single" w:color="auto" w:sz="4" w:space="0"/>
              <w:left w:val="nil"/>
              <w:bottom w:val="single" w:color="000000" w:sz="8" w:space="0"/>
              <w:right w:val="single" w:color="000000" w:sz="8" w:space="0"/>
            </w:tcBorders>
            <w:shd w:val="clear" w:color="auto" w:fill="auto"/>
          </w:tcPr>
          <w:p>
            <w:pPr>
              <w:tabs>
                <w:tab w:val="left" w:pos="417"/>
              </w:tabs>
              <w:autoSpaceDE w:val="0"/>
              <w:autoSpaceDN w:val="0"/>
              <w:adjustRightInd w:val="0"/>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7.</w:t>
            </w:r>
            <w:r>
              <w:rPr>
                <w:rFonts w:ascii="Bookman Old Style" w:hAnsi="Bookman Old Style" w:eastAsia="Times New Roman" w:cs="Times New Roman"/>
                <w:color w:val="000000" w:themeColor="text1"/>
                <w:sz w:val="20"/>
                <w:szCs w:val="20"/>
                <w14:textFill>
                  <w14:solidFill>
                    <w14:schemeClr w14:val="tx1"/>
                  </w14:solidFill>
                </w14:textFill>
              </w:rPr>
              <w:t xml:space="preserve">  Masih terbatasnya kendaraan operasional. </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8.  Belum maksimalnya pemasaran produk dan komoditi unggulan.</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9.  Masih terbatasnya sarana dan prasarana resi gudang</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10. Kurangnya tingkat kesadaran konsumen tentang tertib niaga dan perlindungan konsumen. </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11. Masih adanya produk yang beredar di pasaran yang belum memenuhi persyaratan yang berlaku</w:t>
            </w:r>
          </w:p>
          <w:p>
            <w:pPr>
              <w:tabs>
                <w:tab w:val="left" w:pos="417"/>
              </w:tabs>
              <w:autoSpaceDE w:val="0"/>
              <w:autoSpaceDN w:val="0"/>
              <w:adjustRightInd w:val="0"/>
              <w:spacing w:after="0" w:line="240" w:lineRule="auto"/>
              <w:ind w:left="417" w:hanging="425"/>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12. Belum adanya kantor UPTD kemetrologian sebagai tempat penyimpanan peralatan tera</w:t>
            </w:r>
          </w:p>
        </w:tc>
        <w:tc>
          <w:tcPr>
            <w:tcW w:w="4745" w:type="dxa"/>
            <w:tcBorders>
              <w:top w:val="single" w:color="auto" w:sz="4" w:space="0"/>
              <w:left w:val="nil"/>
              <w:bottom w:val="single" w:color="000000" w:sz="8" w:space="0"/>
              <w:right w:val="single" w:color="000000" w:sz="8" w:space="0"/>
            </w:tcBorders>
            <w:shd w:val="clear" w:color="auto" w:fill="auto"/>
          </w:tcPr>
          <w:p>
            <w:pPr>
              <w:autoSpaceDE w:val="0"/>
              <w:autoSpaceDN w:val="0"/>
              <w:adjustRightInd w:val="0"/>
              <w:spacing w:after="0" w:line="240" w:lineRule="auto"/>
              <w:ind w:left="276"/>
              <w:contextualSpacing/>
              <w:jc w:val="both"/>
              <w:rPr>
                <w:rFonts w:ascii="Bookman Old Style" w:hAnsi="Bookman Old Style" w:eastAsia="Times New Roman" w:cs="Tahoma"/>
                <w:color w:val="000000" w:themeColor="text1"/>
                <w:sz w:val="20"/>
                <w:szCs w:val="20"/>
                <w14:textFill>
                  <w14:solidFill>
                    <w14:schemeClr w14:val="tx1"/>
                  </w14:solidFill>
                </w14:textFill>
              </w:rPr>
            </w:pPr>
          </w:p>
        </w:tc>
      </w:tr>
    </w:tbl>
    <w:p>
      <w:pPr>
        <w:tabs>
          <w:tab w:val="left" w:pos="1701"/>
        </w:tabs>
        <w:spacing w:after="0" w:line="240" w:lineRule="auto"/>
        <w:ind w:left="720" w:firstLine="720"/>
        <w:contextualSpacing w:val="0"/>
        <w:jc w:val="center"/>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spacing w:after="0" w:line="240" w:lineRule="auto"/>
        <w:ind w:left="720" w:firstLine="720"/>
        <w:contextualSpacing w:val="0"/>
        <w:jc w:val="center"/>
        <w:rPr>
          <w:rFonts w:ascii="Bookman Old Style" w:hAnsi="Bookman Old Style" w:eastAsia="Times New Roman" w:cs="Tahoma"/>
          <w:color w:val="000000" w:themeColor="text1"/>
          <w:sz w:val="24"/>
          <w:szCs w:val="24"/>
          <w14:textFill>
            <w14:solidFill>
              <w14:schemeClr w14:val="tx1"/>
            </w14:solidFill>
          </w14:textFill>
        </w:rPr>
        <w:sectPr>
          <w:type w:val="continuous"/>
          <w:pgSz w:w="20160" w:h="12240" w:orient="landscape"/>
          <w:pgMar w:top="1134" w:right="2098" w:bottom="1701" w:left="1134" w:header="720" w:footer="2268" w:gutter="0"/>
          <w:cols w:space="720" w:num="1"/>
          <w:docGrid w:linePitch="326" w:charSpace="0"/>
        </w:sectPr>
      </w:pPr>
    </w:p>
    <w:p>
      <w:pPr>
        <w:numPr>
          <w:ilvl w:val="1"/>
          <w:numId w:val="66"/>
        </w:numPr>
        <w:spacing w:after="0" w:line="360" w:lineRule="auto"/>
        <w:ind w:left="1134" w:hanging="113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Telaahan RENSTRA</w:t>
      </w:r>
      <w:r>
        <w:rPr>
          <w:rFonts w:ascii="Bookman Old Style" w:hAnsi="Bookman Old Style" w:eastAsia="Times New Roman" w:cs="Tahoma"/>
          <w:b/>
          <w:color w:val="000000" w:themeColor="text1"/>
          <w:sz w:val="24"/>
          <w:szCs w:val="24"/>
          <w:lang w:val="fi-FI"/>
          <w14:textFill>
            <w14:solidFill>
              <w14:schemeClr w14:val="tx1"/>
            </w14:solidFill>
          </w14:textFill>
        </w:rPr>
        <w:t xml:space="preserve"> </w:t>
      </w:r>
      <w:r>
        <w:rPr>
          <w:rFonts w:ascii="Bookman Old Style" w:hAnsi="Bookman Old Style" w:eastAsia="Times New Roman" w:cs="Tahoma"/>
          <w:b/>
          <w:bCs/>
          <w:color w:val="000000" w:themeColor="text1"/>
          <w:sz w:val="24"/>
          <w:szCs w:val="24"/>
          <w14:textFill>
            <w14:solidFill>
              <w14:schemeClr w14:val="tx1"/>
            </w14:solidFill>
          </w14:textFill>
        </w:rPr>
        <w:t xml:space="preserve">K/L dan RENSTRA Provinsi </w:t>
      </w:r>
    </w:p>
    <w:p>
      <w:pPr>
        <w:spacing w:after="0" w:line="360" w:lineRule="auto"/>
        <w:ind w:left="1134"/>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Dinas  Perdagangan, Koperasi, dan Usaha Kecil dan Menengah Kabupaten Kepulauan Selayar meliputi 2 kementrian yakni Kementrian Koperasi dan UKM dan Kementrian Perdagangan Republik Indonesia. Untuk itu, dapat dilihat tujuan dan sasarannya sebagai berikut : </w:t>
      </w:r>
    </w:p>
    <w:p>
      <w:pPr>
        <w:numPr>
          <w:ilvl w:val="2"/>
          <w:numId w:val="66"/>
        </w:numPr>
        <w:spacing w:after="0" w:line="360" w:lineRule="auto"/>
        <w:ind w:left="1080" w:hanging="108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Telaahan Renstra Kementrian</w:t>
      </w:r>
    </w:p>
    <w:p>
      <w:pPr>
        <w:numPr>
          <w:ilvl w:val="3"/>
          <w:numId w:val="66"/>
        </w:numPr>
        <w:spacing w:after="0" w:line="360" w:lineRule="auto"/>
        <w:ind w:left="1134" w:hanging="113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Kementrian Koperasi dan UKM </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Untuk Kementerian Koperasi dan UMKM periode 5 (lima) tahun mendatang, sesuai dengan arah kebijakan Renstra 2020-2024                        di Kemetrian Koperasi dan UKM bertujuan :</w:t>
      </w:r>
    </w:p>
    <w:p>
      <w:pPr>
        <w:numPr>
          <w:ilvl w:val="0"/>
          <w:numId w:val="67"/>
        </w:numPr>
        <w:tabs>
          <w:tab w:val="left" w:pos="1701"/>
        </w:tabs>
        <w:autoSpaceDE w:val="0"/>
        <w:autoSpaceDN w:val="0"/>
        <w:adjustRightInd w:val="0"/>
        <w:spacing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Terwujudnya Koperasi Generasi Baru yang Maju dan Modern</w:t>
      </w:r>
    </w:p>
    <w:p>
      <w:pPr>
        <w:numPr>
          <w:ilvl w:val="0"/>
          <w:numId w:val="67"/>
        </w:numPr>
        <w:tabs>
          <w:tab w:val="left" w:pos="1701"/>
        </w:tabs>
        <w:autoSpaceDE w:val="0"/>
        <w:autoSpaceDN w:val="0"/>
        <w:adjustRightInd w:val="0"/>
        <w:spacing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Terwujudnya UMKM yang Mampu Bersaing di Pasar Domestik dan Global</w:t>
      </w:r>
    </w:p>
    <w:p>
      <w:pPr>
        <w:tabs>
          <w:tab w:val="left" w:pos="2127"/>
        </w:tabs>
        <w:autoSpaceDE w:val="0"/>
        <w:autoSpaceDN w:val="0"/>
        <w:adjustRightInd w:val="0"/>
        <w:spacing w:after="0" w:line="360" w:lineRule="auto"/>
        <w:ind w:left="1134"/>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Selanjutnya, Sasaran strategis Pengembangan Koperasi dan UMKM merupakan kondisi yang ingin dicapai sebagai suatu outcome dan impact dari program yang dilaksanakan oleh Kementerian Koperasi dan UKM</w:t>
      </w:r>
      <w:r>
        <w:rPr>
          <w:rFonts w:ascii="Bookman Old Style" w:hAnsi="Bookman Old Style" w:eastAsia="Times New Roman" w:cs="Tahoma"/>
          <w:color w:val="000000" w:themeColor="text1"/>
          <w:sz w:val="24"/>
          <w:szCs w:val="24"/>
          <w14:textFill>
            <w14:solidFill>
              <w14:schemeClr w14:val="tx1"/>
            </w14:solidFill>
          </w14:textFill>
        </w:rPr>
        <w:t xml:space="preserve">, yaitu </w:t>
      </w:r>
      <w:r>
        <w:rPr>
          <w:rFonts w:ascii="Bookman Old Style" w:hAnsi="Bookman Old Style" w:eastAsia="Times New Roman" w:cs="Times New Roman"/>
          <w:color w:val="000000" w:themeColor="text1"/>
          <w:sz w:val="24"/>
          <w:szCs w:val="20"/>
          <w14:textFill>
            <w14:solidFill>
              <w14:schemeClr w14:val="tx1"/>
            </w14:solidFill>
          </w14:textFill>
        </w:rPr>
        <w:t xml:space="preserve">Mewujudkan Koperasi dan UMKM yang maju, berdaulat, dan Mandiri serta Mewujudkan UMKM yang Mampu Bersaing di Pasar Domestik dan Global. </w:t>
      </w:r>
    </w:p>
    <w:p>
      <w:pPr>
        <w:tabs>
          <w:tab w:val="left" w:pos="1701"/>
        </w:tabs>
        <w:autoSpaceDE w:val="0"/>
        <w:autoSpaceDN w:val="0"/>
        <w:adjustRightInd w:val="0"/>
        <w:spacing w:after="0" w:line="360" w:lineRule="auto"/>
        <w:ind w:left="1134"/>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Berkaitan hal tersebut diatas, untuk operasionalisasi pencapaian sasaran strategis diperlukan penajaman secara perspektif, melalui penentuan indikator Kementerian Koperasi dan UKM Tahun 2020-2024, adalah sebagai berikut :</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Persentase Kontribusi PDB sektor Koperasi</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Jumlah Koperasi Model Baru dan Modern</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Pertumbuhan Start-up berbasis Koperasi</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Persentase Kontribusi PDB sektor UMKM</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Persentase Total Nilai Ekspor UMKM</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Persentase Total Investasi UMKM</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Persentase UKM Naik Kelas</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Pertumbuhan Tenaga Kerja UMKM</w:t>
      </w:r>
    </w:p>
    <w:p>
      <w:pPr>
        <w:numPr>
          <w:ilvl w:val="0"/>
          <w:numId w:val="68"/>
        </w:numPr>
        <w:tabs>
          <w:tab w:val="left" w:pos="1701"/>
        </w:tabs>
        <w:autoSpaceDE w:val="0"/>
        <w:autoSpaceDN w:val="0"/>
        <w:adjustRightInd w:val="0"/>
        <w:spacing w:before="240" w:after="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Rasio Kewirausahaan</w:t>
      </w:r>
    </w:p>
    <w:p>
      <w:pPr>
        <w:tabs>
          <w:tab w:val="left" w:pos="1701"/>
        </w:tabs>
        <w:autoSpaceDE w:val="0"/>
        <w:autoSpaceDN w:val="0"/>
        <w:adjustRightInd w:val="0"/>
        <w:spacing w:before="240"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1701"/>
        </w:tabs>
        <w:autoSpaceDE w:val="0"/>
        <w:autoSpaceDN w:val="0"/>
        <w:adjustRightInd w:val="0"/>
        <w:spacing w:before="240" w:after="0" w:line="360" w:lineRule="auto"/>
        <w:ind w:left="1560"/>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Tabel. 3.3.1.1</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Permasalahan Pelayanan Dinas Perdagangan, Koperasi dan Usaha Kecil dan Menengah Kabupaten Kepulauan Selayar berdasarkan Sasaran Renstra Kementerian beserta Faktor Penghambat dan Pendorong Keberhasilan Penanganannya</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tbl>
      <w:tblPr>
        <w:tblStyle w:val="4"/>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728"/>
        <w:gridCol w:w="1985"/>
        <w:gridCol w:w="2157"/>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1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No</w:t>
            </w:r>
          </w:p>
        </w:tc>
        <w:tc>
          <w:tcPr>
            <w:tcW w:w="172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Sas</w:t>
            </w:r>
            <w:r>
              <w:rPr>
                <w:rFonts w:ascii="Bookman Old Style" w:hAnsi="Bookman Old Style" w:eastAsia="Times New Roman" w:cs="Times New Roman"/>
                <w:b/>
                <w:color w:val="000000" w:themeColor="text1"/>
                <w:sz w:val="20"/>
                <w:szCs w:val="20"/>
                <w:lang w:val="sv-SE"/>
                <w14:textFill>
                  <w14:solidFill>
                    <w14:schemeClr w14:val="tx1"/>
                  </w14:solidFill>
                </w14:textFill>
              </w:rPr>
              <w:t xml:space="preserve">aran Jangka Menengah </w:t>
            </w:r>
            <w:r>
              <w:rPr>
                <w:rFonts w:ascii="Bookman Old Style" w:hAnsi="Bookman Old Style" w:eastAsia="Times New Roman" w:cs="Times New Roman"/>
                <w:b/>
                <w:color w:val="000000" w:themeColor="text1"/>
                <w:sz w:val="20"/>
                <w:szCs w:val="20"/>
                <w14:textFill>
                  <w14:solidFill>
                    <w14:schemeClr w14:val="tx1"/>
                  </w14:solidFill>
                </w14:textFill>
              </w:rPr>
              <w:t>Renstra Kemenkop dan UKM</w:t>
            </w:r>
          </w:p>
        </w:tc>
        <w:tc>
          <w:tcPr>
            <w:tcW w:w="1985"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 xml:space="preserve">Permasalahan </w:t>
            </w:r>
          </w:p>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Pelayanan OPD Dis</w:t>
            </w:r>
          </w:p>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dag KUKM</w:t>
            </w:r>
          </w:p>
        </w:tc>
        <w:tc>
          <w:tcPr>
            <w:tcW w:w="5386" w:type="dxa"/>
            <w:gridSpan w:val="2"/>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Sebagai Faktor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172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1985"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2157"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Penghambat</w:t>
            </w:r>
          </w:p>
        </w:tc>
        <w:tc>
          <w:tcPr>
            <w:tcW w:w="3229"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Pendorong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(1)</w:t>
            </w:r>
          </w:p>
        </w:tc>
        <w:tc>
          <w:tcPr>
            <w:tcW w:w="172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(2)</w:t>
            </w:r>
          </w:p>
        </w:tc>
        <w:tc>
          <w:tcPr>
            <w:tcW w:w="1985"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(3)</w:t>
            </w:r>
          </w:p>
        </w:tc>
        <w:tc>
          <w:tcPr>
            <w:tcW w:w="2157"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(4)</w:t>
            </w:r>
          </w:p>
        </w:tc>
        <w:tc>
          <w:tcPr>
            <w:tcW w:w="3229"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6" w:hRule="atLeast"/>
          <w:jc w:val="center"/>
        </w:trPr>
        <w:tc>
          <w:tcPr>
            <w:tcW w:w="518" w:type="dxa"/>
            <w:shd w:val="clear" w:color="auto" w:fill="auto"/>
          </w:tcPr>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w:t>
            </w: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w:t>
            </w: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tc>
        <w:tc>
          <w:tcPr>
            <w:tcW w:w="1728" w:type="dxa"/>
            <w:shd w:val="clear" w:color="auto" w:fill="auto"/>
          </w:tcPr>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Mewujudkan Koperasi dan UMKM yang maju, berdaulat, dan Mandiri</w:t>
            </w: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Mewujudkan UMKM yang Mampu Bersaing di Pasar Domestik dan Global</w:t>
            </w:r>
          </w:p>
        </w:tc>
        <w:tc>
          <w:tcPr>
            <w:tcW w:w="1985" w:type="dxa"/>
            <w:shd w:val="clear" w:color="auto" w:fill="auto"/>
          </w:tcPr>
          <w:p>
            <w:pPr>
              <w:numPr>
                <w:ilvl w:val="0"/>
                <w:numId w:val="69"/>
              </w:numPr>
              <w:autoSpaceDE w:val="0"/>
              <w:autoSpaceDN w:val="0"/>
              <w:adjustRightInd w:val="0"/>
              <w:spacing w:after="0" w:line="240" w:lineRule="auto"/>
              <w:ind w:left="278" w:hanging="357"/>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Kapasitas SDM kader koperasi untuk melakukan pembinaan kepada kelompok masyarakat masih rendah</w:t>
            </w:r>
          </w:p>
          <w:p>
            <w:pPr>
              <w:numPr>
                <w:ilvl w:val="0"/>
                <w:numId w:val="69"/>
              </w:numPr>
              <w:autoSpaceDE w:val="0"/>
              <w:autoSpaceDN w:val="0"/>
              <w:adjustRightInd w:val="0"/>
              <w:spacing w:before="240" w:after="0" w:line="240" w:lineRule="auto"/>
              <w:ind w:left="283"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Fasilitasi pelaksanaan ART masih rendah </w:t>
            </w:r>
          </w:p>
          <w:p>
            <w:pPr>
              <w:numPr>
                <w:ilvl w:val="0"/>
                <w:numId w:val="69"/>
              </w:numPr>
              <w:autoSpaceDE w:val="0"/>
              <w:autoSpaceDN w:val="0"/>
              <w:adjustRightInd w:val="0"/>
              <w:spacing w:before="240" w:after="0" w:line="240" w:lineRule="auto"/>
              <w:ind w:left="283"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Koperasi yang memerlukan bantuan fasilitas dalam mengembangkan usahanya masih banyak</w:t>
            </w:r>
          </w:p>
          <w:p>
            <w:pPr>
              <w:numPr>
                <w:ilvl w:val="0"/>
                <w:numId w:val="69"/>
              </w:numPr>
              <w:autoSpaceDE w:val="0"/>
              <w:autoSpaceDN w:val="0"/>
              <w:adjustRightInd w:val="0"/>
              <w:spacing w:after="0" w:line="240" w:lineRule="auto"/>
              <w:ind w:left="283"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Akses pelaku usaha Koperasi terhadap layanan perbankan relatif rendah</w:t>
            </w:r>
          </w:p>
          <w:p>
            <w:pPr>
              <w:tabs>
                <w:tab w:val="left" w:pos="1701"/>
              </w:tabs>
              <w:autoSpaceDE w:val="0"/>
              <w:autoSpaceDN w:val="0"/>
              <w:adjustRightInd w:val="0"/>
              <w:spacing w:before="240" w:after="0" w:line="240" w:lineRule="auto"/>
              <w:ind w:left="283"/>
              <w:contextualSpacing/>
              <w:jc w:val="both"/>
              <w:rPr>
                <w:rFonts w:ascii="Bookman Old Style" w:hAnsi="Bookman Old Style" w:eastAsia="Times New Roman" w:cs="Tahoma"/>
                <w:color w:val="000000" w:themeColor="text1"/>
                <w:sz w:val="20"/>
                <w:szCs w:val="20"/>
                <w14:textFill>
                  <w14:solidFill>
                    <w14:schemeClr w14:val="tx1"/>
                  </w14:solidFill>
                </w14:textFill>
              </w:rPr>
            </w:pPr>
          </w:p>
          <w:p>
            <w:pPr>
              <w:numPr>
                <w:ilvl w:val="0"/>
                <w:numId w:val="70"/>
              </w:numPr>
              <w:autoSpaceDE w:val="0"/>
              <w:autoSpaceDN w:val="0"/>
              <w:adjustRightInd w:val="0"/>
              <w:spacing w:before="240" w:after="0" w:line="240" w:lineRule="auto"/>
              <w:ind w:left="283"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Kapasitas usaha karena kurangnya pengetahuan ilmu dan teknologi belum berkembang</w:t>
            </w:r>
          </w:p>
          <w:p>
            <w:pPr>
              <w:numPr>
                <w:ilvl w:val="0"/>
                <w:numId w:val="70"/>
              </w:numPr>
              <w:autoSpaceDE w:val="0"/>
              <w:autoSpaceDN w:val="0"/>
              <w:adjustRightInd w:val="0"/>
              <w:spacing w:before="240" w:after="0" w:line="240" w:lineRule="auto"/>
              <w:ind w:left="283" w:hanging="360"/>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Fasilitasi SDM, temu bisnis, bimbingan dan konsultasi KUKM Bblum optimal</w:t>
            </w:r>
          </w:p>
          <w:p>
            <w:pPr>
              <w:snapToGrid w:val="0"/>
              <w:spacing w:after="0" w:line="240" w:lineRule="auto"/>
              <w:ind w:left="283"/>
              <w:rPr>
                <w:rFonts w:ascii="Bookman Old Style" w:hAnsi="Bookman Old Style" w:eastAsia="Times New Roman" w:cs="Times New Roman"/>
                <w:color w:val="000000" w:themeColor="text1"/>
                <w:sz w:val="20"/>
                <w:szCs w:val="20"/>
                <w14:textFill>
                  <w14:solidFill>
                    <w14:schemeClr w14:val="tx1"/>
                  </w14:solidFill>
                </w14:textFill>
              </w:rPr>
            </w:pPr>
          </w:p>
        </w:tc>
        <w:tc>
          <w:tcPr>
            <w:tcW w:w="2157" w:type="dxa"/>
            <w:shd w:val="clear" w:color="auto" w:fill="auto"/>
          </w:tcPr>
          <w:p>
            <w:pPr>
              <w:numPr>
                <w:ilvl w:val="1"/>
                <w:numId w:val="71"/>
              </w:numPr>
              <w:autoSpaceDE w:val="0"/>
              <w:autoSpaceDN w:val="0"/>
              <w:adjustRightInd w:val="0"/>
              <w:spacing w:after="0" w:line="240" w:lineRule="auto"/>
              <w:ind w:left="314" w:hanging="36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Masih rendahnya Kesadaran masyarakat dalam pengembangan Perkoperasian</w:t>
            </w:r>
          </w:p>
          <w:p>
            <w:pPr>
              <w:numPr>
                <w:ilvl w:val="1"/>
                <w:numId w:val="71"/>
              </w:numPr>
              <w:autoSpaceDE w:val="0"/>
              <w:autoSpaceDN w:val="0"/>
              <w:adjustRightInd w:val="0"/>
              <w:spacing w:after="0" w:line="240" w:lineRule="auto"/>
              <w:ind w:left="314" w:hanging="36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Masih rendahnya SDM Pengurus dan Pengelola Koperasi</w:t>
            </w:r>
          </w:p>
          <w:p>
            <w:pPr>
              <w:numPr>
                <w:ilvl w:val="1"/>
                <w:numId w:val="71"/>
              </w:numPr>
              <w:autoSpaceDE w:val="0"/>
              <w:autoSpaceDN w:val="0"/>
              <w:adjustRightInd w:val="0"/>
              <w:spacing w:after="0" w:line="240" w:lineRule="auto"/>
              <w:ind w:left="314" w:hanging="36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Belum maksimalnya peralatan dan Permodalan bagi UMKM. </w:t>
            </w:r>
          </w:p>
          <w:p>
            <w:pPr>
              <w:numPr>
                <w:ilvl w:val="1"/>
                <w:numId w:val="71"/>
              </w:numPr>
              <w:autoSpaceDE w:val="0"/>
              <w:autoSpaceDN w:val="0"/>
              <w:adjustRightInd w:val="0"/>
              <w:snapToGrid w:val="0"/>
              <w:spacing w:after="0" w:line="240" w:lineRule="auto"/>
              <w:ind w:left="314" w:hanging="360"/>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Belum optimalnya pemberdayaan dan pengembangan KUKM</w:t>
            </w: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numPr>
                <w:ilvl w:val="0"/>
                <w:numId w:val="72"/>
              </w:numPr>
              <w:snapToGrid w:val="0"/>
              <w:spacing w:after="0" w:line="240" w:lineRule="auto"/>
              <w:ind w:left="314"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Masuknya produk impor yang menyebabkan produk UKM semakin terhimpit dan adanya tekanan persaingan</w:t>
            </w: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tc>
        <w:tc>
          <w:tcPr>
            <w:tcW w:w="3229" w:type="dxa"/>
            <w:shd w:val="clear" w:color="auto" w:fill="auto"/>
          </w:tcPr>
          <w:p>
            <w:pPr>
              <w:numPr>
                <w:ilvl w:val="0"/>
                <w:numId w:val="73"/>
              </w:numPr>
              <w:autoSpaceDE w:val="0"/>
              <w:autoSpaceDN w:val="0"/>
              <w:adjustRightInd w:val="0"/>
              <w:spacing w:after="0" w:line="240" w:lineRule="auto"/>
              <w:ind w:left="300"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Undang-Undang Nomor 25 Tahun 1992 tentang Perkoperasian</w:t>
            </w:r>
          </w:p>
          <w:p>
            <w:pPr>
              <w:numPr>
                <w:ilvl w:val="0"/>
                <w:numId w:val="73"/>
              </w:numPr>
              <w:autoSpaceDE w:val="0"/>
              <w:autoSpaceDN w:val="0"/>
              <w:adjustRightInd w:val="0"/>
              <w:spacing w:after="0" w:line="240" w:lineRule="auto"/>
              <w:ind w:left="300"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Undang-Undang Nomor 20 tahun 2008 tentang Usaha Mikro, Kecil dan Menengah</w:t>
            </w:r>
          </w:p>
          <w:p>
            <w:pPr>
              <w:numPr>
                <w:ilvl w:val="0"/>
                <w:numId w:val="73"/>
              </w:numPr>
              <w:spacing w:line="256" w:lineRule="auto"/>
              <w:ind w:left="300" w:hanging="360"/>
              <w:contextualSpacing/>
              <w:rPr>
                <w:rFonts w:ascii="Bookman Old Style" w:hAnsi="Bookman Old Style" w:eastAsia="Times New Roman" w:cs="Times New Roman"/>
                <w:sz w:val="20"/>
                <w:szCs w:val="20"/>
              </w:rPr>
            </w:pPr>
            <w:r>
              <w:rPr>
                <w:rFonts w:ascii="Bookman Old Style" w:hAnsi="Bookman Old Style" w:eastAsia="Times New Roman" w:cs="Times New Roman"/>
                <w:sz w:val="20"/>
                <w:szCs w:val="20"/>
              </w:rPr>
              <w:t>Penyiapan Tenaga Kerja terampil dan berkualitas diantaranya Akuntan yang ahli dibidangnya, kerjasam antara pendidikan akademik untuk mencapai standar dan kompetisi yang di butuhkan</w:t>
            </w:r>
          </w:p>
          <w:p>
            <w:pPr>
              <w:numPr>
                <w:ilvl w:val="0"/>
                <w:numId w:val="73"/>
              </w:numPr>
              <w:autoSpaceDE w:val="0"/>
              <w:autoSpaceDN w:val="0"/>
              <w:adjustRightInd w:val="0"/>
              <w:spacing w:after="0" w:line="240" w:lineRule="auto"/>
              <w:ind w:left="300"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sz w:val="20"/>
                <w:szCs w:val="20"/>
              </w:rPr>
              <w:t>Pengembangan usaha para pelaku KMKM dengan memberikan Kewirausahaan kepada pelaku melalui bantuan teknis mulai dari produksi, pembukuan keuangan hingga pemasaran serta mendorong UMKM untuk menggunakan layanan digital atau digitalisasi</w:t>
            </w:r>
          </w:p>
          <w:p>
            <w:pPr>
              <w:autoSpaceDE w:val="0"/>
              <w:autoSpaceDN w:val="0"/>
              <w:adjustRightInd w:val="0"/>
              <w:spacing w:after="0" w:line="240" w:lineRule="auto"/>
              <w:ind w:left="300"/>
              <w:contextualSpacing/>
              <w:rPr>
                <w:rFonts w:ascii="Bookman Old Style" w:hAnsi="Bookman Old Style" w:eastAsia="Times New Roman" w:cs="Times New Roman"/>
                <w:color w:val="000000" w:themeColor="text1"/>
                <w:sz w:val="20"/>
                <w:szCs w:val="20"/>
                <w14:textFill>
                  <w14:solidFill>
                    <w14:schemeClr w14:val="tx1"/>
                  </w14:solidFill>
                </w14:textFill>
              </w:rPr>
            </w:pPr>
          </w:p>
          <w:p>
            <w:pPr>
              <w:autoSpaceDE w:val="0"/>
              <w:autoSpaceDN w:val="0"/>
              <w:adjustRightInd w:val="0"/>
              <w:spacing w:after="0" w:line="240" w:lineRule="auto"/>
              <w:ind w:left="300"/>
              <w:contextualSpacing/>
              <w:rPr>
                <w:rFonts w:ascii="Bookman Old Style" w:hAnsi="Bookman Old Style" w:eastAsia="Times New Roman" w:cs="Times New Roman"/>
                <w:color w:val="000000" w:themeColor="text1"/>
                <w:sz w:val="20"/>
                <w:szCs w:val="20"/>
                <w14:textFill>
                  <w14:solidFill>
                    <w14:schemeClr w14:val="tx1"/>
                  </w14:solidFill>
                </w14:textFill>
              </w:rPr>
            </w:pPr>
          </w:p>
          <w:p>
            <w:pPr>
              <w:autoSpaceDE w:val="0"/>
              <w:autoSpaceDN w:val="0"/>
              <w:adjustRightIn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numPr>
                <w:ilvl w:val="0"/>
                <w:numId w:val="74"/>
              </w:numPr>
              <w:spacing w:line="256" w:lineRule="auto"/>
              <w:ind w:left="273" w:hanging="360"/>
              <w:contextualSpacing/>
              <w:rPr>
                <w:rFonts w:ascii="Bookman Old Style" w:hAnsi="Bookman Old Style" w:eastAsia="Times New Roman" w:cs="Times New Roman"/>
                <w:sz w:val="20"/>
                <w:szCs w:val="20"/>
              </w:rPr>
            </w:pPr>
            <w:r>
              <w:rPr>
                <w:rFonts w:ascii="Bookman Old Style" w:hAnsi="Bookman Old Style" w:eastAsia="Times New Roman" w:cs="Times New Roman"/>
                <w:sz w:val="20"/>
                <w:szCs w:val="20"/>
              </w:rPr>
              <w:t>Ketersediaan modal Anggaran untuk Pengembangan Tehnologi Informasi (TI ), SDM dan Adanya Aplikasi T I yang sesuai dengan kebutuhan budaya/ Karateristik UMKM sehingga informasi yang menunjang kegiatan usaha baik berupa informasi pasar maupun informasi mengenai desain kemasan untuk produk /jasa dapat terpenuhi</w:t>
            </w:r>
          </w:p>
          <w:p>
            <w:pPr>
              <w:autoSpaceDE w:val="0"/>
              <w:autoSpaceDN w:val="0"/>
              <w:adjustRightIn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3" w:hRule="atLeast"/>
          <w:jc w:val="center"/>
        </w:trPr>
        <w:tc>
          <w:tcPr>
            <w:tcW w:w="518" w:type="dxa"/>
            <w:shd w:val="clear" w:color="auto" w:fill="auto"/>
          </w:tcPr>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tc>
        <w:tc>
          <w:tcPr>
            <w:tcW w:w="1728" w:type="dxa"/>
            <w:shd w:val="clear" w:color="auto" w:fill="auto"/>
          </w:tcPr>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tc>
        <w:tc>
          <w:tcPr>
            <w:tcW w:w="1985" w:type="dxa"/>
            <w:shd w:val="clear" w:color="auto" w:fill="auto"/>
          </w:tcPr>
          <w:p>
            <w:pPr>
              <w:snapToGrid w:val="0"/>
              <w:spacing w:after="0" w:line="240" w:lineRule="auto"/>
              <w:ind w:left="283"/>
              <w:rPr>
                <w:rFonts w:ascii="Bookman Old Style" w:hAnsi="Bookman Old Style" w:eastAsia="Times New Roman" w:cs="Times New Roman"/>
                <w:color w:val="000000" w:themeColor="text1"/>
                <w:sz w:val="20"/>
                <w:szCs w:val="20"/>
                <w14:textFill>
                  <w14:solidFill>
                    <w14:schemeClr w14:val="tx1"/>
                  </w14:solidFill>
                </w14:textFill>
              </w:rPr>
            </w:pPr>
          </w:p>
        </w:tc>
        <w:tc>
          <w:tcPr>
            <w:tcW w:w="2157" w:type="dxa"/>
            <w:shd w:val="clear" w:color="auto" w:fill="auto"/>
          </w:tcPr>
          <w:p>
            <w:pPr>
              <w:snapToGrid w:val="0"/>
              <w:spacing w:after="0" w:line="240" w:lineRule="auto"/>
              <w:rPr>
                <w:rFonts w:ascii="Bookman Old Style" w:hAnsi="Bookman Old Style" w:eastAsia="Times New Roman" w:cs="Times New Roman"/>
                <w:color w:val="000000" w:themeColor="text1"/>
                <w:sz w:val="20"/>
                <w:szCs w:val="20"/>
                <w14:textFill>
                  <w14:solidFill>
                    <w14:schemeClr w14:val="tx1"/>
                  </w14:solidFill>
                </w14:textFill>
              </w:rPr>
            </w:pPr>
          </w:p>
          <w:p>
            <w:pPr>
              <w:numPr>
                <w:ilvl w:val="0"/>
                <w:numId w:val="72"/>
              </w:numPr>
              <w:snapToGrid w:val="0"/>
              <w:spacing w:after="0" w:line="240" w:lineRule="auto"/>
              <w:ind w:left="314"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Kompleksnya permasalahan yang harus ditangani berkaitan dengan pencapaian koperasi yang sehat dan berkualitas serta UMKM yang inovatif dan berdaya saing</w:t>
            </w:r>
          </w:p>
        </w:tc>
        <w:tc>
          <w:tcPr>
            <w:tcW w:w="3229" w:type="dxa"/>
            <w:shd w:val="clear" w:color="auto" w:fill="auto"/>
          </w:tcPr>
          <w:p>
            <w:pPr>
              <w:spacing w:line="256" w:lineRule="auto"/>
              <w:rPr>
                <w:rFonts w:ascii="Bookman Old Style" w:hAnsi="Bookman Old Style" w:eastAsia="Times New Roman" w:cs="Times New Roman"/>
                <w:sz w:val="20"/>
                <w:szCs w:val="20"/>
              </w:rPr>
            </w:pPr>
          </w:p>
          <w:p>
            <w:pPr>
              <w:numPr>
                <w:ilvl w:val="0"/>
                <w:numId w:val="74"/>
              </w:numPr>
              <w:spacing w:line="256" w:lineRule="auto"/>
              <w:ind w:left="300" w:hanging="360"/>
              <w:contextualSpacing/>
              <w:rPr>
                <w:rFonts w:ascii="Bookman Old Style" w:hAnsi="Bookman Old Style" w:eastAsia="Times New Roman" w:cs="Times New Roman"/>
                <w:sz w:val="20"/>
                <w:szCs w:val="20"/>
              </w:rPr>
            </w:pPr>
            <w:r>
              <w:rPr>
                <w:rFonts w:ascii="Bookman Old Style" w:hAnsi="Bookman Old Style" w:eastAsia="Times New Roman" w:cs="Times New Roman"/>
                <w:sz w:val="20"/>
                <w:szCs w:val="20"/>
              </w:rPr>
              <w:t>Pencapain koperasi yang sehat jika koperasi mempunyai kemampuan finansial, management dan mampu memberikan fasilitas permodalan serta UMKM berbasis Kreativitas yang sesuai dukungan pemerintah melalui PP No. 6 thn 2006 tentang pengembangan ekonomi kreatif.</w:t>
            </w:r>
          </w:p>
          <w:p>
            <w:pPr>
              <w:numPr>
                <w:ilvl w:val="0"/>
                <w:numId w:val="74"/>
              </w:numPr>
              <w:spacing w:line="256" w:lineRule="auto"/>
              <w:ind w:left="300" w:hanging="360"/>
              <w:contextualSpacing/>
              <w:rPr>
                <w:rFonts w:ascii="Bookman Old Style" w:hAnsi="Bookman Old Style" w:eastAsia="Times New Roman" w:cs="Times New Roman"/>
                <w:sz w:val="20"/>
                <w:szCs w:val="20"/>
              </w:rPr>
            </w:pPr>
            <w:r>
              <w:rPr>
                <w:rFonts w:ascii="Bookman Old Style" w:hAnsi="Bookman Old Style" w:eastAsia="Times New Roman" w:cs="Times New Roman"/>
                <w:sz w:val="20"/>
                <w:szCs w:val="20"/>
              </w:rPr>
              <w:t>Penentuan product, Price,Place,Promotion dalam bisnis UMKM sesuai dengan kebutuhan yang diinginkan oleh semua konsumen</w:t>
            </w:r>
          </w:p>
          <w:p>
            <w:pPr>
              <w:numPr>
                <w:ilvl w:val="0"/>
                <w:numId w:val="74"/>
              </w:numPr>
              <w:autoSpaceDE w:val="0"/>
              <w:autoSpaceDN w:val="0"/>
              <w:adjustRightInd w:val="0"/>
              <w:spacing w:after="0" w:line="240" w:lineRule="auto"/>
              <w:ind w:left="300" w:hanging="360"/>
              <w:contextualSpacing/>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sz w:val="20"/>
                <w:szCs w:val="20"/>
              </w:rPr>
              <w:t>Percepatan UMKM naik kelas yaitu adanya Perizinan sehingga UMKM mampu merambah pasarnya ke skala nsional bahkan ekspor</w:t>
            </w:r>
          </w:p>
        </w:tc>
      </w:tr>
    </w:tbl>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b/>
          <w:bCs/>
          <w:color w:val="000000" w:themeColor="text1"/>
          <w:sz w:val="16"/>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ab/>
      </w:r>
    </w:p>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0"/>
          <w14:textFill>
            <w14:solidFill>
              <w14:schemeClr w14:val="tx1"/>
            </w14:solidFill>
          </w14:textFill>
        </w:rPr>
        <w:tab/>
      </w:r>
    </w:p>
    <w:p>
      <w:pPr>
        <w:numPr>
          <w:ilvl w:val="3"/>
          <w:numId w:val="66"/>
        </w:numPr>
        <w:spacing w:after="0" w:line="360" w:lineRule="auto"/>
        <w:ind w:left="1134" w:hanging="113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Kementrian Perdagangan</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Kementerian Perdagangan ada 3 ( tiga ) misi utama   yaitu : meningkatkan kinerja ekspor nonmigas secara berkualitas, menguatkan pasar dalam negeri, dan menjaga ketersediaan bahan pokok dan peguatan jaringan distribusi nasional.</w:t>
      </w: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 </w:t>
      </w:r>
      <w:r>
        <w:rPr>
          <w:rFonts w:ascii="Bookman Old Style" w:hAnsi="Bookman Old Style" w:eastAsia="Times New Roman" w:cs="Tahoma"/>
          <w:color w:val="000000" w:themeColor="text1"/>
          <w:sz w:val="24"/>
          <w:szCs w:val="24"/>
          <w:lang w:eastAsia="id-ID"/>
          <w14:textFill>
            <w14:solidFill>
              <w14:schemeClr w14:val="tx1"/>
            </w14:solidFill>
          </w14:textFill>
        </w:rPr>
        <w:t>Pengendalian harga yang dilakukan mempengaruhi laju inflasi nasional.</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Begitu pula penetrasi pasar juga mempengaruhi harga tetap stabil dan memantau pengamanan pasokan, Pengembangan kapasitas logistik menjadi salah satu upaya dalam peningkatan pembangunan sarana dan distribusi perdagangan. Pengembangan kapasitas tersebut melalui peningkatan kualitas sarana distribusi (pasar, pusat distribusi regional, peningkatan kapasitas pelaku logistik) dan peningkatan koordinasi antar instansi yang terkait. Salah satu upaya yang dilakukan adalah melalui Gerai Maritim. Gerai Maritim merupakan sistem distribusi logistik bahan pokok antar pulau yang terintegrasi melalui jalur laut dan bertujuan menjamin ketersediaan dan stabilisasi harga barang di berbagai wilayah terpencil dan terluar Indonesia, serta mengurangi disparitas harga antardaerah terutama di wilayah Indonesia bagian barat dan Indonesia bagian timur.</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Pengembangan kapasitas logistik menjadi salah satu                upaya   dalam   peningkatan  pembangunan   sarana  dan   distribusi perdagangan. Pengembangan kapasitas tersebut melalui peningkatan kualitas sarana distribusi (pasar, pusat distribusi regional, peningkatan kapasitas pelaku logistik) dan peningkatan koordinasi antar instansi yang terkait. Salah satu upaya yang dilakukan adalah melalui Gerai Maritim. Gerai Maritim merupakan sistem distribusi logistik bahan pokok antar pulau yang terintegrasi melalui jalur laut dan bertujuan menjamin ketersediaan dan stabilisasi harga barang di berbagai wilayah terpencil dan terluar Indonesia, serta mengurangi disparitas harga antardaerah terutama di wilayah Indonesia bagian barat dan Indonesia bagian timur.</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Perlindungan konsumen nasional dilaksanakan dengan 2 (dua) pendekatan utama, yaitu preventif dan represif. Upaya preventif perlindungan konsumen dilakukan sebelum konsumen mengalami kerugian  atau   menderita  sakit akibat mengonsumsi/menggunakan </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barang dan/atau jasa, sedangkan upaya represif perlindungan konsumen dilakukan setelah konsumen mengalami kerugian atau menderita sakit akibat mengonsumsi/menggunakan barang dan/atau jasa.</w:t>
      </w:r>
    </w:p>
    <w:p>
      <w:pPr>
        <w:tabs>
          <w:tab w:val="left" w:pos="2127"/>
        </w:tabs>
        <w:autoSpaceDE w:val="0"/>
        <w:autoSpaceDN w:val="0"/>
        <w:adjustRightInd w:val="0"/>
        <w:spacing w:after="0" w:line="360" w:lineRule="auto"/>
        <w:ind w:left="1134" w:firstLine="11"/>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Dalam rangka mewujudkan Visi dan Misi serta memperhatikan  potensi,  permasalahan  dan tantangan   yang   akan dihadapi, maka Tujuan yang ingin dicapai Kementerian Perdagangan dalam kurun waktu 2020-2024, adalah sebagai berikut :</w:t>
      </w:r>
    </w:p>
    <w:p>
      <w:pPr>
        <w:numPr>
          <w:ilvl w:val="2"/>
          <w:numId w:val="75"/>
        </w:numPr>
        <w:tabs>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Peningkatan kinerja ekspor non-migas dan jasa</w:t>
      </w:r>
    </w:p>
    <w:p>
      <w:pPr>
        <w:numPr>
          <w:ilvl w:val="2"/>
          <w:numId w:val="75"/>
        </w:numPr>
        <w:tabs>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Peningkatan konsumsi nasional yang mendukung pertumbuhan ekonomi</w:t>
      </w:r>
    </w:p>
    <w:p>
      <w:pPr>
        <w:numPr>
          <w:ilvl w:val="2"/>
          <w:numId w:val="75"/>
        </w:numPr>
        <w:tabs>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Terwujudnya tata kelola pemerintahan di Kementerian Perdagangan yang baik dan berkualitas</w:t>
      </w:r>
    </w:p>
    <w:p>
      <w:pPr>
        <w:tabs>
          <w:tab w:val="left" w:pos="1701"/>
        </w:tabs>
        <w:autoSpaceDE w:val="0"/>
        <w:autoSpaceDN w:val="0"/>
        <w:adjustRightInd w:val="0"/>
        <w:spacing w:after="0" w:line="360" w:lineRule="auto"/>
        <w:ind w:left="1276" w:firstLine="992"/>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Sasaran strategis merupakan penjabaran dari tujuan yang telah dirumuskan dan merupakan kondisi yang akan dicapai oleh Kementerian Perdagangan selama periode pembangunan tahun                   2020- 2024 dan dapat diukur secara nyata melalui indikator-indikator kinerja. Sasaran strategis Kementerian Perdagangan  adalah : </w:t>
      </w:r>
    </w:p>
    <w:p>
      <w:pPr>
        <w:numPr>
          <w:ilvl w:val="3"/>
          <w:numId w:val="76"/>
        </w:numPr>
        <w:tabs>
          <w:tab w:val="left" w:pos="1701"/>
        </w:tabs>
        <w:autoSpaceDE w:val="0"/>
        <w:autoSpaceDN w:val="0"/>
        <w:adjustRightInd w:val="0"/>
        <w:spacing w:after="0" w:line="360" w:lineRule="auto"/>
        <w:ind w:left="1701" w:hanging="360"/>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Meningkatnya Pertumbuhan Ekspor Barang Non-Migas yang Bernilai Tambah dan Jasa </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2. </w:t>
      </w:r>
      <w:r>
        <w:rPr>
          <w:rFonts w:ascii="Bookman Old Style" w:hAnsi="Bookman Old Style" w:eastAsia="Times New Roman" w:cs="Times New Roman"/>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Terwujudnya stabilisasi harga dan ketersediaan pasokan barang kebutuhan pokok</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3.</w:t>
      </w:r>
      <w:r>
        <w:rPr>
          <w:rFonts w:ascii="Bookman Old Style" w:hAnsi="Bookman Old Style" w:eastAsia="Times New Roman" w:cs="Times New Roman"/>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Terwujudnya konsumen berdaya dan pelaku usaha yang bertanggung jawab</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4. </w:t>
      </w:r>
      <w:r>
        <w:rPr>
          <w:rFonts w:ascii="Bookman Old Style" w:hAnsi="Bookman Old Style" w:eastAsia="Times New Roman" w:cs="Times New Roman"/>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Meningkatnya pasar produk dalam negeri </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5. </w:t>
      </w:r>
      <w:r>
        <w:rPr>
          <w:rFonts w:ascii="Bookman Old Style" w:hAnsi="Bookman Old Style" w:eastAsia="Times New Roman" w:cs="Times New Roman"/>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Optimalnya peranan PBK, SRG dan PLK </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6. </w:t>
      </w:r>
      <w:r>
        <w:rPr>
          <w:rFonts w:ascii="Bookman Old Style" w:hAnsi="Bookman Old Style" w:eastAsia="Times New Roman" w:cs="Times New Roman"/>
          <w:color w:val="000000" w:themeColor="text1"/>
          <w:sz w:val="24"/>
          <w:szCs w:val="24"/>
          <w:lang w:eastAsia="id-ID"/>
          <w14:textFill>
            <w14:solidFill>
              <w14:schemeClr w14:val="tx1"/>
            </w14:solidFill>
          </w14:textFill>
        </w:rPr>
        <w:tab/>
      </w: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Meningkatnya kinerja perdagangan yang bersih, akuntabel dan professional, dan </w:t>
      </w:r>
    </w:p>
    <w:p>
      <w:pPr>
        <w:tabs>
          <w:tab w:val="left" w:pos="1701"/>
        </w:tabs>
        <w:autoSpaceDE w:val="0"/>
        <w:autoSpaceDN w:val="0"/>
        <w:adjustRightInd w:val="0"/>
        <w:spacing w:after="0" w:line="360" w:lineRule="auto"/>
        <w:ind w:left="1701" w:hanging="425"/>
        <w:jc w:val="both"/>
        <w:rPr>
          <w:rFonts w:ascii="Bookman Old Style" w:hAnsi="Bookman Old Style" w:eastAsia="Times New Roman" w:cs="Times New Roman"/>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7.   Meningkatnya kapabilitas SDM Perdagangan</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Tabel. 3.3.1.2.1</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Permasalahan Pelayanan Dinas Perdagangan, Koperasi dan Usaha Kecil dan Menengah Kabupaten Kepulauan Selayar berdasarkan Sasaran Renstra Kementerian Perdagangan beserta Faktor Penghambat dan Pendorong Keberhasilan Penanganannya</w:t>
      </w:r>
    </w:p>
    <w:tbl>
      <w:tblPr>
        <w:tblStyle w:val="4"/>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009"/>
        <w:gridCol w:w="2428"/>
        <w:gridCol w:w="2288"/>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No</w:t>
            </w:r>
          </w:p>
        </w:tc>
        <w:tc>
          <w:tcPr>
            <w:tcW w:w="2009"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lang w:val="zh-CN"/>
                <w14:textFill>
                  <w14:solidFill>
                    <w14:schemeClr w14:val="tx1"/>
                  </w14:solidFill>
                </w14:textFill>
              </w:rPr>
            </w:pPr>
            <w:r>
              <w:rPr>
                <w:rFonts w:ascii="Bookman Old Style" w:hAnsi="Bookman Old Style" w:eastAsia="Times New Roman" w:cs="Times New Roman"/>
                <w:b/>
                <w:color w:val="000000" w:themeColor="text1"/>
                <w:sz w:val="18"/>
                <w:szCs w:val="18"/>
                <w:lang w:val="zh-CN"/>
                <w14:textFill>
                  <w14:solidFill>
                    <w14:schemeClr w14:val="tx1"/>
                  </w14:solidFill>
                </w14:textFill>
              </w:rPr>
              <w:t>Sas</w:t>
            </w:r>
            <w:r>
              <w:rPr>
                <w:rFonts w:ascii="Bookman Old Style" w:hAnsi="Bookman Old Style" w:eastAsia="Times New Roman" w:cs="Times New Roman"/>
                <w:b/>
                <w:color w:val="000000" w:themeColor="text1"/>
                <w:sz w:val="18"/>
                <w:szCs w:val="18"/>
                <w:lang w:val="sv-SE"/>
                <w14:textFill>
                  <w14:solidFill>
                    <w14:schemeClr w14:val="tx1"/>
                  </w14:solidFill>
                </w14:textFill>
              </w:rPr>
              <w:t xml:space="preserve">aran Jangka Menengah </w:t>
            </w:r>
            <w:r>
              <w:rPr>
                <w:rFonts w:ascii="Bookman Old Style" w:hAnsi="Bookman Old Style" w:eastAsia="Times New Roman" w:cs="Times New Roman"/>
                <w:b/>
                <w:color w:val="000000" w:themeColor="text1"/>
                <w:sz w:val="18"/>
                <w:szCs w:val="18"/>
                <w:lang w:val="zh-CN"/>
                <w14:textFill>
                  <w14:solidFill>
                    <w14:schemeClr w14:val="tx1"/>
                  </w14:solidFill>
                </w14:textFill>
              </w:rPr>
              <w:t xml:space="preserve">Renstra Kemendag </w:t>
            </w:r>
          </w:p>
        </w:tc>
        <w:tc>
          <w:tcPr>
            <w:tcW w:w="242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 xml:space="preserve">Permasalahan </w:t>
            </w:r>
          </w:p>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Pelayanan OPD Disdagkukm KUKM</w:t>
            </w:r>
          </w:p>
        </w:tc>
        <w:tc>
          <w:tcPr>
            <w:tcW w:w="4678" w:type="dxa"/>
            <w:gridSpan w:val="2"/>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Sebagai Faktor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009"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42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288"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Penghambat</w:t>
            </w:r>
          </w:p>
        </w:tc>
        <w:tc>
          <w:tcPr>
            <w:tcW w:w="2390"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Pendorong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(1)</w:t>
            </w:r>
          </w:p>
        </w:tc>
        <w:tc>
          <w:tcPr>
            <w:tcW w:w="2009"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(2)</w:t>
            </w:r>
          </w:p>
        </w:tc>
        <w:tc>
          <w:tcPr>
            <w:tcW w:w="242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(3)</w:t>
            </w:r>
          </w:p>
        </w:tc>
        <w:tc>
          <w:tcPr>
            <w:tcW w:w="228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(4)</w:t>
            </w:r>
          </w:p>
        </w:tc>
        <w:tc>
          <w:tcPr>
            <w:tcW w:w="2390"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518" w:type="dxa"/>
            <w:shd w:val="clear" w:color="auto" w:fill="auto"/>
          </w:tcPr>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1.</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3.</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4.</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5.</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6.</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7.</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tc>
        <w:tc>
          <w:tcPr>
            <w:tcW w:w="2009" w:type="dxa"/>
            <w:shd w:val="clear" w:color="auto" w:fill="auto"/>
          </w:tcPr>
          <w:p>
            <w:pPr>
              <w:tabs>
                <w:tab w:val="left" w:pos="1701"/>
              </w:tabs>
              <w:autoSpaceDE w:val="0"/>
              <w:autoSpaceDN w:val="0"/>
              <w:adjustRightInd w:val="0"/>
              <w:spacing w:after="0" w:line="240" w:lineRule="auto"/>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Meningkatnya Pertumbuhan Ekspor Barang Non-Migas yang bernilai tambah dan rasa.</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Terwujudnya stabilisasi harga dan ketersediaan pasokan barang kebutuhan pokok</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Terwujudnya konsumen berdaya dan pelaku usaha yang bertanggung jawab</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Meningkatnya pasar produk dalam negeri</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Optimalnya peranan PBK, SRG dan PLK</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Meningkatnya kinerja perdagangan yang bersih, akuntabel dan professional</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Meningkatnya kapabilitas SDM Perdagangan</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ahoma"/>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tc>
        <w:tc>
          <w:tcPr>
            <w:tcW w:w="2428" w:type="dxa"/>
            <w:shd w:val="clear" w:color="auto" w:fill="auto"/>
          </w:tcPr>
          <w:p>
            <w:pPr>
              <w:widowControl w:val="0"/>
              <w:autoSpaceDE w:val="0"/>
              <w:autoSpaceDN w:val="0"/>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widowControl w:val="0"/>
              <w:numPr>
                <w:ilvl w:val="0"/>
                <w:numId w:val="77"/>
              </w:numPr>
              <w:autoSpaceDE w:val="0"/>
              <w:autoSpaceDN w:val="0"/>
              <w:spacing w:after="0" w:line="240" w:lineRule="auto"/>
              <w:ind w:left="337" w:hanging="360"/>
              <w:contextualSpacing w:val="0"/>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Orientasi Ekspor Barang Non-Migas belum optimal.</w:t>
            </w:r>
          </w:p>
          <w:p>
            <w:pPr>
              <w:widowControl w:val="0"/>
              <w:numPr>
                <w:ilvl w:val="0"/>
                <w:numId w:val="77"/>
              </w:numPr>
              <w:autoSpaceDE w:val="0"/>
              <w:autoSpaceDN w:val="0"/>
              <w:spacing w:after="0" w:line="240" w:lineRule="auto"/>
              <w:ind w:left="337" w:hanging="360"/>
              <w:contextualSpacing w:val="0"/>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Kelangkaan barang, upaya penimbunan produk dan instabilitas harga masih sering terjadi</w:t>
            </w:r>
          </w:p>
          <w:p>
            <w:pPr>
              <w:widowControl w:val="0"/>
              <w:numPr>
                <w:ilvl w:val="0"/>
                <w:numId w:val="77"/>
              </w:numPr>
              <w:autoSpaceDE w:val="0"/>
              <w:autoSpaceDN w:val="0"/>
              <w:spacing w:after="0" w:line="240" w:lineRule="auto"/>
              <w:ind w:left="337" w:hanging="360"/>
              <w:contextualSpacing w:val="0"/>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Produk-produk dalam daerah yang masih perlu ditingkatkan kualitasnya agar mempunyai daya saing</w:t>
            </w:r>
          </w:p>
          <w:p>
            <w:pPr>
              <w:widowControl w:val="0"/>
              <w:numPr>
                <w:ilvl w:val="0"/>
                <w:numId w:val="77"/>
              </w:numPr>
              <w:autoSpaceDE w:val="0"/>
              <w:autoSpaceDN w:val="0"/>
              <w:spacing w:after="0" w:line="240" w:lineRule="auto"/>
              <w:ind w:left="337" w:hanging="360"/>
              <w:contextualSpacing w:val="0"/>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Masih tingginya penggunaan barang impor yang relatif lebih terjangkau harganya</w:t>
            </w:r>
          </w:p>
          <w:p>
            <w:pPr>
              <w:widowControl w:val="0"/>
              <w:numPr>
                <w:ilvl w:val="0"/>
                <w:numId w:val="77"/>
              </w:numPr>
              <w:autoSpaceDE w:val="0"/>
              <w:autoSpaceDN w:val="0"/>
              <w:spacing w:after="0" w:line="240" w:lineRule="auto"/>
              <w:ind w:left="337" w:hanging="360"/>
              <w:contextualSpacing w:val="0"/>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Sarana dan prasarana logistik, seperti sarana transportasi (akses dan alat angkut), sarana pergudangan dan keterampilan SDM belum memadai</w:t>
            </w: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p>
        </w:tc>
        <w:tc>
          <w:tcPr>
            <w:tcW w:w="2288" w:type="dxa"/>
            <w:shd w:val="clear" w:color="auto" w:fill="auto"/>
          </w:tcPr>
          <w:p>
            <w:pPr>
              <w:autoSpaceDE w:val="0"/>
              <w:autoSpaceDN w:val="0"/>
              <w:adjustRightInd w:val="0"/>
              <w:spacing w:after="0" w:line="240" w:lineRule="auto"/>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1.Kurang kondusifnya iklim usaha</w:t>
            </w:r>
          </w:p>
          <w:p>
            <w:pPr>
              <w:autoSpaceDE w:val="0"/>
              <w:autoSpaceDN w:val="0"/>
              <w:adjustRightInd w:val="0"/>
              <w:spacing w:after="0" w:line="240" w:lineRule="auto"/>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2.Terbatasnya     Pelaku Usaha yang berorientasi ekspor dan memiliki kemampuan mengakses informasi pasar</w:t>
            </w:r>
          </w:p>
          <w:p>
            <w:pPr>
              <w:autoSpaceDE w:val="0"/>
              <w:autoSpaceDN w:val="0"/>
              <w:adjustRightInd w:val="0"/>
              <w:spacing w:after="0" w:line="240" w:lineRule="auto"/>
              <w:ind w:left="176" w:hanging="28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3. </w:t>
            </w:r>
            <w:r>
              <w:rPr>
                <w:rFonts w:ascii="Bookman Old Style" w:hAnsi="Bookman Old Style" w:eastAsia="Times New Roman" w:cs="Tahoma"/>
                <w:color w:val="000000" w:themeColor="text1"/>
                <w:sz w:val="18"/>
                <w:szCs w:val="18"/>
                <w:lang w:val="sv-SE"/>
                <w14:textFill>
                  <w14:solidFill>
                    <w14:schemeClr w14:val="tx1"/>
                  </w14:solidFill>
                </w14:textFill>
              </w:rPr>
              <w:t>Meningkatnya harga barang kebutuhan masyarakat</w:t>
            </w:r>
          </w:p>
          <w:p>
            <w:pPr>
              <w:autoSpaceDE w:val="0"/>
              <w:autoSpaceDN w:val="0"/>
              <w:adjustRightInd w:val="0"/>
              <w:spacing w:after="0" w:line="240" w:lineRule="auto"/>
              <w:ind w:left="176" w:hanging="284"/>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4. </w:t>
            </w:r>
            <w:r>
              <w:rPr>
                <w:rFonts w:ascii="Bookman Old Style" w:hAnsi="Bookman Old Style" w:eastAsia="Times New Roman" w:cs="Times New Roman"/>
                <w:color w:val="000000" w:themeColor="text1"/>
                <w:sz w:val="18"/>
                <w:szCs w:val="18"/>
                <w14:textFill>
                  <w14:solidFill>
                    <w14:schemeClr w14:val="tx1"/>
                  </w14:solidFill>
                </w14:textFill>
              </w:rPr>
              <w:tab/>
            </w:r>
            <w:r>
              <w:rPr>
                <w:rFonts w:ascii="Bookman Old Style" w:hAnsi="Bookman Old Style" w:eastAsia="Times New Roman" w:cs="Tahoma"/>
                <w:color w:val="000000" w:themeColor="text1"/>
                <w:sz w:val="18"/>
                <w:szCs w:val="18"/>
                <w:lang w:val="sv-SE"/>
                <w14:textFill>
                  <w14:solidFill>
                    <w14:schemeClr w14:val="tx1"/>
                  </w14:solidFill>
                </w14:textFill>
              </w:rPr>
              <w:t>Masih terbatasnya kegiatan investasi khususnya terkait kegiatan distribusi logistik yakni p</w:t>
            </w:r>
            <w:r>
              <w:rPr>
                <w:rFonts w:ascii="Bookman Old Style" w:hAnsi="Bookman Old Style" w:eastAsia="Times New Roman" w:cs="Tahoma"/>
                <w:color w:val="000000" w:themeColor="text1"/>
                <w:sz w:val="18"/>
                <w:szCs w:val="18"/>
                <w14:textFill>
                  <w14:solidFill>
                    <w14:schemeClr w14:val="tx1"/>
                  </w14:solidFill>
                </w14:textFill>
              </w:rPr>
              <w:t>erdagangan antar pulau terkendala sarana transportasi</w:t>
            </w:r>
          </w:p>
          <w:p>
            <w:pPr>
              <w:autoSpaceDE w:val="0"/>
              <w:autoSpaceDN w:val="0"/>
              <w:adjustRightInd w:val="0"/>
              <w:spacing w:after="0" w:line="240" w:lineRule="auto"/>
              <w:ind w:left="176" w:hanging="28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317" w:hanging="425"/>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317" w:hanging="425"/>
              <w:rPr>
                <w:rFonts w:ascii="Bookman Old Style" w:hAnsi="Bookman Old Style" w:eastAsia="Times New Roman" w:cs="Times New Roman"/>
                <w:color w:val="000000" w:themeColor="text1"/>
                <w:sz w:val="18"/>
                <w:szCs w:val="18"/>
                <w14:textFill>
                  <w14:solidFill>
                    <w14:schemeClr w14:val="tx1"/>
                  </w14:solidFill>
                </w14:textFill>
              </w:rPr>
            </w:pPr>
          </w:p>
        </w:tc>
        <w:tc>
          <w:tcPr>
            <w:tcW w:w="2390" w:type="dxa"/>
            <w:shd w:val="clear" w:color="auto" w:fill="auto"/>
          </w:tcPr>
          <w:p>
            <w:pPr>
              <w:autoSpaceDE w:val="0"/>
              <w:autoSpaceDN w:val="0"/>
              <w:adjustRightInd w:val="0"/>
              <w:spacing w:after="0" w:line="240" w:lineRule="auto"/>
              <w:ind w:left="418" w:hanging="418"/>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1.  Undang-Undang Nomor 2 Tahun 2014 Tentang Perdagangan </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2.  Dukungan Peraturan Perundang-undangan disektor perindustrian </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3. Ketersediaan SDA yang dapat mendukung pengembangan usaha disektor Perdagangan</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4.  Bandar maritim didukung oleh3 pilar pembangunan yakni kawasan distribusi logistik ditopang oleh 5 sub kawasan , KEK dan KIPT </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5.  Rencana, penataan pedagang kaki lima dan pemberdayaan masyarakat di 5 desa yang termasuk prioritas gerakan membangun desa mandiri</w:t>
            </w:r>
          </w:p>
          <w:p>
            <w:pPr>
              <w:autoSpaceDE w:val="0"/>
              <w:autoSpaceDN w:val="0"/>
              <w:adjustRightInd w:val="0"/>
              <w:spacing w:after="0" w:line="240" w:lineRule="auto"/>
              <w:ind w:left="337" w:hanging="337"/>
              <w:rPr>
                <w:rFonts w:ascii="Bookman Old Style" w:hAnsi="Bookman Old Style" w:eastAsia="Times New Roman" w:cs="Tahoma"/>
                <w:color w:val="000000" w:themeColor="text1"/>
                <w:sz w:val="18"/>
                <w:szCs w:val="18"/>
                <w14:textFill>
                  <w14:solidFill>
                    <w14:schemeClr w14:val="tx1"/>
                  </w14:solidFill>
                </w14:textFill>
              </w:rPr>
            </w:pPr>
          </w:p>
        </w:tc>
      </w:tr>
    </w:tbl>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numPr>
          <w:ilvl w:val="2"/>
          <w:numId w:val="66"/>
        </w:numPr>
        <w:spacing w:after="0" w:line="360" w:lineRule="auto"/>
        <w:ind w:left="1080" w:hanging="108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Telaahan Renstra Provinsi</w:t>
      </w:r>
    </w:p>
    <w:p>
      <w:pPr>
        <w:tabs>
          <w:tab w:val="left" w:pos="1985"/>
        </w:tabs>
        <w:spacing w:after="0" w:line="360" w:lineRule="auto"/>
        <w:ind w:left="1080" w:firstLine="5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ab/>
      </w:r>
      <w:r>
        <w:rPr>
          <w:rFonts w:ascii="Bookman Old Style" w:hAnsi="Bookman Old Style" w:eastAsia="Times New Roman" w:cs="Tahoma"/>
          <w:bCs/>
          <w:color w:val="000000" w:themeColor="text1"/>
          <w:sz w:val="24"/>
          <w:szCs w:val="24"/>
          <w14:textFill>
            <w14:solidFill>
              <w14:schemeClr w14:val="tx1"/>
            </w14:solidFill>
          </w14:textFill>
        </w:rPr>
        <w:t>Dinas Perdagangan, Koperasi, Usaha Kecil dan Menengah Kabupaten Kepulauan Selayar meliputi 3 Dinas Provinsi Sulawesi Selatan, yakni Dinas Koperasi dan UKM Provinsi Sulawesi Selatan, Dinas  Provinsi Selatan dan Dinas Perdagangan Provinsi Sulawesi Selatan. Untuk itu, dapat dilihat tujuan dan sasarannya sebagai berikut :</w:t>
      </w:r>
    </w:p>
    <w:p>
      <w:pPr>
        <w:numPr>
          <w:ilvl w:val="3"/>
          <w:numId w:val="66"/>
        </w:numPr>
        <w:spacing w:after="0" w:line="360" w:lineRule="auto"/>
        <w:ind w:left="1134" w:hanging="113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Telaahan Renstra </w:t>
      </w:r>
      <w:r>
        <w:rPr>
          <w:rFonts w:ascii="Bookman Old Style" w:hAnsi="Bookman Old Style" w:eastAsia="Times New Roman" w:cs="Times New Roman"/>
          <w:b/>
          <w:color w:val="000000" w:themeColor="text1"/>
          <w:sz w:val="24"/>
          <w:szCs w:val="24"/>
          <w14:textFill>
            <w14:solidFill>
              <w14:schemeClr w14:val="tx1"/>
            </w14:solidFill>
          </w14:textFill>
        </w:rPr>
        <w:t>Dinas Koperasi dan UKM Provinsi</w:t>
      </w:r>
    </w:p>
    <w:p>
      <w:pPr>
        <w:tabs>
          <w:tab w:val="left" w:pos="1701"/>
          <w:tab w:val="left" w:pos="1985"/>
        </w:tabs>
        <w:autoSpaceDE w:val="0"/>
        <w:autoSpaceDN w:val="0"/>
        <w:adjustRightInd w:val="0"/>
        <w:spacing w:after="0" w:line="360" w:lineRule="auto"/>
        <w:ind w:left="1134" w:firstLine="11"/>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Demikian juga</w:t>
      </w:r>
      <w:r>
        <w:rPr>
          <w:rFonts w:ascii="Bookman Old Style" w:hAnsi="Bookman Old Style" w:eastAsia="Times New Roman" w:cs="Times New Roman"/>
          <w:color w:val="000000" w:themeColor="text1"/>
          <w:sz w:val="24"/>
          <w:szCs w:val="24"/>
          <w:lang w:val="id-ID"/>
          <w14:textFill>
            <w14:solidFill>
              <w14:schemeClr w14:val="tx1"/>
            </w14:solidFill>
          </w14:textFill>
        </w:rPr>
        <w:t xml:space="preserve"> </w:t>
      </w:r>
      <w:r>
        <w:rPr>
          <w:rFonts w:ascii="Bookman Old Style" w:hAnsi="Bookman Old Style" w:eastAsia="Times New Roman" w:cs="Times New Roman"/>
          <w:color w:val="000000" w:themeColor="text1"/>
          <w:sz w:val="24"/>
          <w:szCs w:val="24"/>
          <w14:textFill>
            <w14:solidFill>
              <w14:schemeClr w14:val="tx1"/>
            </w14:solidFill>
          </w14:textFill>
        </w:rPr>
        <w:t xml:space="preserve">Dinas Koperasi dan UKM Provinsi Sulawesi Selatan merumuskan tujuan pembangunan Tahun 2018-2023 yaitu </w:t>
      </w:r>
      <w:r>
        <w:rPr>
          <w:rFonts w:ascii="Bookman Old Style" w:hAnsi="Bookman Old Style" w:eastAsia="Times New Roman" w:cs="Times New Roman"/>
          <w:color w:val="000000" w:themeColor="text1"/>
          <w:sz w:val="24"/>
          <w:szCs w:val="20"/>
          <w14:textFill>
            <w14:solidFill>
              <w14:schemeClr w14:val="tx1"/>
            </w14:solidFill>
          </w14:textFill>
        </w:rPr>
        <w:t>mendorong pencapaian kemandirian Koperasi dan UKM yang mampu meningkatkan daya angkat dan daya dorong pembangunan dan mengurangi kesenjangan sosial ekonomi wilayah.</w:t>
      </w:r>
    </w:p>
    <w:p>
      <w:pPr>
        <w:tabs>
          <w:tab w:val="left" w:pos="1701"/>
          <w:tab w:val="left" w:pos="1985"/>
        </w:tabs>
        <w:spacing w:after="0" w:line="360" w:lineRule="auto"/>
        <w:ind w:left="1134" w:firstLine="720"/>
        <w:contextualSpacing w:val="0"/>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ab/>
      </w:r>
      <w:r>
        <w:rPr>
          <w:rFonts w:ascii="Bookman Old Style" w:hAnsi="Bookman Old Style" w:eastAsia="Times New Roman" w:cs="Times New Roman"/>
          <w:color w:val="000000" w:themeColor="text1"/>
          <w:sz w:val="24"/>
          <w:szCs w:val="24"/>
          <w14:textFill>
            <w14:solidFill>
              <w14:schemeClr w14:val="tx1"/>
            </w14:solidFill>
          </w14:textFill>
        </w:rPr>
        <w:t>Untuk memastikan tercapainya tujuan yang diharapkan, maka  Dinas Koperasi dan UKM Provinsi Sulawesi Selatan merumuskan sasaran strategis yang akan menjadi panduan dan mendorong peningkatan kinerja tahun 2018-2023, adalah :</w:t>
      </w:r>
    </w:p>
    <w:p>
      <w:pPr>
        <w:numPr>
          <w:ilvl w:val="2"/>
          <w:numId w:val="71"/>
        </w:numPr>
        <w:spacing w:after="0" w:line="360" w:lineRule="auto"/>
        <w:ind w:left="1560" w:hanging="425"/>
        <w:contextualSpacing w:val="0"/>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Kegiatan Usaha Koperasi dan UKM layak secara bisnis</w:t>
      </w:r>
    </w:p>
    <w:p>
      <w:pPr>
        <w:tabs>
          <w:tab w:val="left" w:pos="2694"/>
        </w:tabs>
        <w:spacing w:after="0" w:line="360" w:lineRule="auto"/>
        <w:ind w:left="1560"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 xml:space="preserve">Pengelolaan Usaha Koperasi, UKM di lakukan agar tercipta produktifitas keluaran yang mampu berdaya saing secaralokal, regional dan internasional sesuai dengan entitas bisnis dan adanya kesetaraan iklim usaha bagi semua pelaku usaha secara proporsional demi berlangsungnya kegiatan ekonomi yang berkelanjutan. Indikator : </w:t>
      </w:r>
    </w:p>
    <w:p>
      <w:pPr>
        <w:tabs>
          <w:tab w:val="left" w:pos="2694"/>
        </w:tabs>
        <w:spacing w:after="0" w:line="360" w:lineRule="auto"/>
        <w:ind w:left="1985"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a.  </w:t>
      </w:r>
      <w:r>
        <w:rPr>
          <w:rFonts w:ascii="Bookman Old Style" w:hAnsi="Bookman Old Style" w:eastAsia="Times New Roman" w:cs="Times New Roman"/>
          <w:color w:val="000000" w:themeColor="text1"/>
          <w:sz w:val="24"/>
          <w:szCs w:val="20"/>
          <w14:textFill>
            <w14:solidFill>
              <w14:schemeClr w14:val="tx1"/>
            </w14:solidFill>
          </w14:textFill>
        </w:rPr>
        <w:tab/>
      </w:r>
      <w:r>
        <w:rPr>
          <w:rFonts w:ascii="Bookman Old Style" w:hAnsi="Bookman Old Style" w:eastAsia="Times New Roman" w:cs="Times New Roman"/>
          <w:color w:val="000000" w:themeColor="text1"/>
          <w:sz w:val="24"/>
          <w:szCs w:val="20"/>
          <w14:textFill>
            <w14:solidFill>
              <w14:schemeClr w14:val="tx1"/>
            </w14:solidFill>
          </w14:textFill>
        </w:rPr>
        <w:t>Besaran peningkatan produktivitas dari Koperasi dan UKM.</w:t>
      </w:r>
    </w:p>
    <w:p>
      <w:pPr>
        <w:numPr>
          <w:ilvl w:val="1"/>
          <w:numId w:val="76"/>
        </w:numPr>
        <w:spacing w:after="0" w:line="360" w:lineRule="auto"/>
        <w:ind w:left="1985"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Besaran peningkata nskala usaha. </w:t>
      </w:r>
    </w:p>
    <w:p>
      <w:pPr>
        <w:numPr>
          <w:ilvl w:val="1"/>
          <w:numId w:val="76"/>
        </w:numPr>
        <w:spacing w:after="0" w:line="360" w:lineRule="auto"/>
        <w:ind w:left="1985"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Besaran peningkatan pemasaran.</w:t>
      </w:r>
    </w:p>
    <w:p>
      <w:pPr>
        <w:numPr>
          <w:ilvl w:val="1"/>
          <w:numId w:val="76"/>
        </w:numPr>
        <w:spacing w:after="0" w:line="360" w:lineRule="auto"/>
        <w:ind w:left="1985"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Besaran peningkatan pendapatan usaha</w:t>
      </w:r>
    </w:p>
    <w:p>
      <w:pPr>
        <w:numPr>
          <w:ilvl w:val="1"/>
          <w:numId w:val="76"/>
        </w:numPr>
        <w:spacing w:after="0" w:line="360" w:lineRule="auto"/>
        <w:ind w:left="1985"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Besaran kelembagaan usaha, koperasi dan UKM yang produktif, berstastus hukum legal, dan terstandar.</w:t>
      </w:r>
    </w:p>
    <w:p>
      <w:pPr>
        <w:numPr>
          <w:ilvl w:val="1"/>
          <w:numId w:val="76"/>
        </w:numPr>
        <w:spacing w:after="0" w:line="360" w:lineRule="auto"/>
        <w:ind w:left="1985" w:hanging="425"/>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Standardisasi Pengelolaan Manajemen usaha, Koperasi dan UKM</w:t>
      </w:r>
    </w:p>
    <w:p>
      <w:pPr>
        <w:numPr>
          <w:ilvl w:val="2"/>
          <w:numId w:val="71"/>
        </w:numPr>
        <w:spacing w:after="0" w:line="360" w:lineRule="auto"/>
        <w:ind w:left="1560" w:hanging="425"/>
        <w:contextualSpacing w:val="0"/>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Penyediaan Produk hasil usaha Koperasi dan UKM yang bernilai tinggi, daya saing tinggi dan memenuhi syarat dan standardisasi pasar. </w:t>
      </w:r>
    </w:p>
    <w:p>
      <w:pPr>
        <w:tabs>
          <w:tab w:val="left" w:pos="1701"/>
        </w:tabs>
        <w:autoSpaceDE w:val="0"/>
        <w:autoSpaceDN w:val="0"/>
        <w:adjustRightInd w:val="0"/>
        <w:spacing w:after="0" w:line="360" w:lineRule="auto"/>
        <w:ind w:left="156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Optimalisasi pemasaran produk ke pasar yang lebih tinggi membutuhkan berbagai upaya dan terobosan agar mampu sinergis dengan persyaratan yang ditetapkan, permintaan pasar dan tentunya spesifikasi konsumen. Indikator : </w:t>
      </w:r>
    </w:p>
    <w:p>
      <w:pPr>
        <w:numPr>
          <w:ilvl w:val="4"/>
          <w:numId w:val="76"/>
        </w:numPr>
        <w:autoSpaceDE w:val="0"/>
        <w:autoSpaceDN w:val="0"/>
        <w:adjustRightInd w:val="0"/>
        <w:spacing w:after="0" w:line="360" w:lineRule="auto"/>
        <w:ind w:left="1985"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skala usaha, volume usaha dan aset yang dimiliki.</w:t>
      </w:r>
    </w:p>
    <w:p>
      <w:pPr>
        <w:numPr>
          <w:ilvl w:val="4"/>
          <w:numId w:val="76"/>
        </w:numPr>
        <w:tabs>
          <w:tab w:val="left" w:pos="1560"/>
        </w:tabs>
        <w:autoSpaceDE w:val="0"/>
        <w:autoSpaceDN w:val="0"/>
        <w:adjustRightInd w:val="0"/>
        <w:spacing w:after="0" w:line="360" w:lineRule="auto"/>
        <w:ind w:left="1985"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Terbentuknya pusat pusat pelayanan Usaha setiap produk      yang bernilai tinggi di pasaran.</w:t>
      </w:r>
    </w:p>
    <w:p>
      <w:pPr>
        <w:numPr>
          <w:ilvl w:val="2"/>
          <w:numId w:val="71"/>
        </w:numPr>
        <w:autoSpaceDE w:val="0"/>
        <w:autoSpaceDN w:val="0"/>
        <w:adjustRightInd w:val="0"/>
        <w:spacing w:after="0" w:line="360" w:lineRule="auto"/>
        <w:ind w:left="1701"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Kegiatan Usaha Koperasi dan UKM yang memiliki akses seluas-luasnya terhadap pengembangan sumber daya (manusia, modal teknologi sesuai potensi yang dimiliki).</w:t>
      </w:r>
    </w:p>
    <w:p>
      <w:pPr>
        <w:autoSpaceDE w:val="0"/>
        <w:autoSpaceDN w:val="0"/>
        <w:adjustRightInd w:val="0"/>
        <w:spacing w:after="0" w:line="360" w:lineRule="auto"/>
        <w:ind w:left="1701"/>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Indikator :</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jumlah pelaku usaha wirausaha baru untuk aktif mendirikan usaha kecil dan menengah.</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Kemampuan inovatif usaha. </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Memiliki budaya usaha yang profesional. </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pelanggan.</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kemampuan manajerial.</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Meningkatnya jumlah pengelola koperasi dan usaha kecil dan menengah yang bersertifikasi</w:t>
      </w:r>
    </w:p>
    <w:p>
      <w:pPr>
        <w:numPr>
          <w:ilvl w:val="7"/>
          <w:numId w:val="76"/>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produk hasil produksi koperasi dan usaha kecil dan menengah yang bersertifikasi dan berdaya saing sesuai standar pasar yang ditetapkan</w:t>
      </w:r>
    </w:p>
    <w:p>
      <w:pPr>
        <w:numPr>
          <w:ilvl w:val="2"/>
          <w:numId w:val="71"/>
        </w:numPr>
        <w:autoSpaceDE w:val="0"/>
        <w:autoSpaceDN w:val="0"/>
        <w:adjustRightInd w:val="0"/>
        <w:spacing w:after="0" w:line="360" w:lineRule="auto"/>
        <w:ind w:left="1701"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Kegiatan Usaha Koperasi dan UKM yang memiliki daya saing dalam perekonomian wilayah, nasional dan internasional</w:t>
      </w:r>
    </w:p>
    <w:p>
      <w:pPr>
        <w:autoSpaceDE w:val="0"/>
        <w:autoSpaceDN w:val="0"/>
        <w:adjustRightInd w:val="0"/>
        <w:spacing w:after="0" w:line="360" w:lineRule="auto"/>
        <w:ind w:left="1701"/>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Indikator :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Ketersediaan prasarana dan sarana yang memadai.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Birokrasi yang efisien.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Dukungan manajemen bisnis.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Akses pasar.</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Event-event bisnis yang bersifat regional, nasional, dan internasional dalam rangka mempromosikan kelembagaan koperasi dan usaha mikro kecil dan menengah, serta produk-produk yang dihasilkan.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Jumlah dana bergulir yang disalurkan.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Jumlah pemanfaat dana bergulir (Usaha Mikro Kecil/UMK).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Meningkatnya dana Corporate Social Responsibility (CSR) dari sektor swasta.</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Meningkatnya dana hibah tidak bersyarat untuk membantu permodalan tertentu berbentuk pendanaan dan atau asset. </w:t>
      </w:r>
    </w:p>
    <w:p>
      <w:pPr>
        <w:numPr>
          <w:ilvl w:val="0"/>
          <w:numId w:val="78"/>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Tersedianya bapak angkat dalam membantu permodalan sekaligus pemasaran produk</w:t>
      </w:r>
    </w:p>
    <w:p>
      <w:pPr>
        <w:numPr>
          <w:ilvl w:val="2"/>
          <w:numId w:val="71"/>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Dukungan Sinkronisasi Tata Ruang dan kemampuan menjaga daya dukung dan daya tampung lingkungan</w:t>
      </w:r>
    </w:p>
    <w:p>
      <w:pPr>
        <w:autoSpaceDE w:val="0"/>
        <w:autoSpaceDN w:val="0"/>
        <w:adjustRightInd w:val="0"/>
        <w:spacing w:after="0" w:line="360" w:lineRule="auto"/>
        <w:ind w:left="2127"/>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Indikator :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Kesesuaian dengan pemanfaatan ruang.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Jaminan keamanan.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Jaminan keselamatan.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Jaminan Estetika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Penegakan hukum.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Mendirikan pusat-pusat ekonomi kreatif di setiap wilayah.</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Peningkatan partisipasi aktif di Pusat Kegiatan Primer dan Sekunder (Jumlah izin usaha yang ditertibkan di lokasi tertentu dengan nilai ekonomi yang tinggi dan Pembuatan sistem pengawasan dan pembinaan untuk penertiban izin agar lebih efisien dan efektif).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Tersedianya ruang dan luas yang cukup bagi sektor informal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berupa lokasi binaan, lokasi sementara, lokasi terpadu.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Pembangunan Pasar/mall/lokasi khusus bagi pedagang kaki lima (PKL).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Tersedianya data dan Road Map pengelolaan sektor ekonomi informal di setiap wilayah.</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Tersedianya Road Map peruntukan usaha pengembangan Koperasi dan UKM di setiap wilayah provinsi Sulawesi Selatan hingga Kecamatan. </w:t>
      </w:r>
    </w:p>
    <w:p>
      <w:pPr>
        <w:numPr>
          <w:ilvl w:val="0"/>
          <w:numId w:val="7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Tersedianya panduan dasar dan tata cara pendirian bisnis koperasi dan usaha kecil menengah sesuai tata ruang dan daya dukung wilayah, Peningkatan kegiatan pengawasan dan pengendalian bagi usaha-usaha yang tidak sesuai dengan tata ruang dan daya dukung wilayah</w:t>
      </w:r>
    </w:p>
    <w:p>
      <w:pPr>
        <w:numPr>
          <w:ilvl w:val="2"/>
          <w:numId w:val="71"/>
        </w:numPr>
        <w:autoSpaceDE w:val="0"/>
        <w:autoSpaceDN w:val="0"/>
        <w:adjustRightInd w:val="0"/>
        <w:spacing w:after="0" w:line="360" w:lineRule="auto"/>
        <w:ind w:left="1701"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kegiatan pengawasan dan pengendalian bagi usaha-usaha yang tidak sesuai dengan tata ruang dan daya dukung wilayah</w:t>
      </w:r>
    </w:p>
    <w:p>
      <w:pPr>
        <w:autoSpaceDE w:val="0"/>
        <w:autoSpaceDN w:val="0"/>
        <w:adjustRightInd w:val="0"/>
        <w:spacing w:after="0" w:line="360" w:lineRule="auto"/>
        <w:ind w:left="1701"/>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Indikator :</w:t>
      </w:r>
    </w:p>
    <w:p>
      <w:pPr>
        <w:numPr>
          <w:ilvl w:val="1"/>
          <w:numId w:val="4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Tersedianya tempat konsultasi, inkubasi, dan transaksi bisnis di wilayah sesuai dengan tipologi usaha di wilayah tersebut.</w:t>
      </w:r>
    </w:p>
    <w:p>
      <w:pPr>
        <w:numPr>
          <w:ilvl w:val="1"/>
          <w:numId w:val="4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Kegiatan pendidikan dan pelatihan bagi para stakeholder wirausaha sesuai minat, kompetensi dan kebutuhan pasar.</w:t>
      </w:r>
    </w:p>
    <w:p>
      <w:pPr>
        <w:numPr>
          <w:ilvl w:val="1"/>
          <w:numId w:val="4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Pendampingan dan pemberdayaan usaha bagi para wirausaha khususnya peningkatan standardisasi kelembagaan dan produk yang berdaya saing dan berteknologi.</w:t>
      </w:r>
    </w:p>
    <w:p>
      <w:pPr>
        <w:numPr>
          <w:ilvl w:val="1"/>
          <w:numId w:val="4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Pelaksanaan kerjasama bisnis untuk mempromosikan produk hasil kegiatan koperasi dan usaha kecil dan menengah yang bersifat regional dan internasional.</w:t>
      </w:r>
    </w:p>
    <w:p>
      <w:pPr>
        <w:numPr>
          <w:ilvl w:val="1"/>
          <w:numId w:val="49"/>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Pembuatan pilot project wirausaha di setiap wilayah untuk dijadikan panduan bagi usaha-usaha lain sejenis di wilayah Sulawesi Selatan</w:t>
      </w:r>
    </w:p>
    <w:p>
      <w:pPr>
        <w:numPr>
          <w:ilvl w:val="2"/>
          <w:numId w:val="71"/>
        </w:numPr>
        <w:autoSpaceDE w:val="0"/>
        <w:autoSpaceDN w:val="0"/>
        <w:adjustRightInd w:val="0"/>
        <w:spacing w:after="0" w:line="360" w:lineRule="auto"/>
        <w:ind w:left="1701"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kemudahan, kepastian dan perlindungan untuk usaha, konsumen dan produk</w:t>
      </w:r>
    </w:p>
    <w:p>
      <w:pPr>
        <w:autoSpaceDE w:val="0"/>
        <w:autoSpaceDN w:val="0"/>
        <w:adjustRightInd w:val="0"/>
        <w:spacing w:after="0" w:line="360" w:lineRule="auto"/>
        <w:ind w:left="1701"/>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Indikator : </w:t>
      </w:r>
    </w:p>
    <w:p>
      <w:pPr>
        <w:numPr>
          <w:ilvl w:val="3"/>
          <w:numId w:val="71"/>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Tersedianya layanan investasi satu atap online dan terintegrasi untuk semua perijinan investasi bagi Koperasi dan UKM. </w:t>
      </w:r>
    </w:p>
    <w:p>
      <w:pPr>
        <w:numPr>
          <w:ilvl w:val="3"/>
          <w:numId w:val="71"/>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Terbentuknya kelembagaan perlindungan untuk usaha, konsumen dan produk Koperasi dan UKM di setiap wilayah yang memiliki kewenangan dalam penindakan.</w:t>
      </w:r>
    </w:p>
    <w:p>
      <w:pPr>
        <w:numPr>
          <w:ilvl w:val="3"/>
          <w:numId w:val="71"/>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Re-evaluasi peraturan-peraturan yang menghambat kemudahan dan kepastian investasi dalam usaha Koperasi dan UKM. </w:t>
      </w:r>
    </w:p>
    <w:p>
      <w:pPr>
        <w:numPr>
          <w:ilvl w:val="3"/>
          <w:numId w:val="71"/>
        </w:numPr>
        <w:autoSpaceDE w:val="0"/>
        <w:autoSpaceDN w:val="0"/>
        <w:adjustRightInd w:val="0"/>
        <w:spacing w:after="0" w:line="360" w:lineRule="auto"/>
        <w:ind w:left="2127" w:hanging="360"/>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Peningkatan partisipasi aktif dari stakeholder wilayah dalam memberikan kemudahan, kepastian dan perlindungan usaha, konsumen, dan produk dalam lingkup Koperasi dan UKM</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Tabel. 3.3.2.1.1</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Permasalahan Pelayanan Dinas Perdagangan, Koperasi dan Usaha Kecil dan Menengah Kabupaten Kepulauan Selayar berdasarkan Sasaran Renstra Dinas Koperasi dan UKM Propinsi beserta Faktor Penghambat dan Pendorong Keberhasilan Penanganannya</w:t>
      </w:r>
    </w:p>
    <w:p>
      <w:pPr>
        <w:snapToGrid w:val="0"/>
        <w:spacing w:after="12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tbl>
      <w:tblPr>
        <w:tblStyle w:val="4"/>
        <w:tblW w:w="9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835"/>
        <w:gridCol w:w="2009"/>
        <w:gridCol w:w="2126"/>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1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No</w:t>
            </w:r>
          </w:p>
        </w:tc>
        <w:tc>
          <w:tcPr>
            <w:tcW w:w="2835"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lang w:val="zh-CN"/>
                <w14:textFill>
                  <w14:solidFill>
                    <w14:schemeClr w14:val="tx1"/>
                  </w14:solidFill>
                </w14:textFill>
              </w:rPr>
            </w:pPr>
            <w:r>
              <w:rPr>
                <w:rFonts w:ascii="Bookman Old Style" w:hAnsi="Bookman Old Style" w:eastAsia="Times New Roman" w:cs="Times New Roman"/>
                <w:b/>
                <w:color w:val="000000" w:themeColor="text1"/>
                <w:sz w:val="18"/>
                <w:szCs w:val="18"/>
                <w:lang w:val="zh-CN"/>
                <w14:textFill>
                  <w14:solidFill>
                    <w14:schemeClr w14:val="tx1"/>
                  </w14:solidFill>
                </w14:textFill>
              </w:rPr>
              <w:t>Sas</w:t>
            </w:r>
            <w:r>
              <w:rPr>
                <w:rFonts w:ascii="Bookman Old Style" w:hAnsi="Bookman Old Style" w:eastAsia="Times New Roman" w:cs="Times New Roman"/>
                <w:b/>
                <w:color w:val="000000" w:themeColor="text1"/>
                <w:sz w:val="18"/>
                <w:szCs w:val="18"/>
                <w:lang w:val="sv-SE"/>
                <w14:textFill>
                  <w14:solidFill>
                    <w14:schemeClr w14:val="tx1"/>
                  </w14:solidFill>
                </w14:textFill>
              </w:rPr>
              <w:t xml:space="preserve">aran Jangka Menengah </w:t>
            </w:r>
            <w:r>
              <w:rPr>
                <w:rFonts w:ascii="Bookman Old Style" w:hAnsi="Bookman Old Style" w:eastAsia="Times New Roman" w:cs="Times New Roman"/>
                <w:b/>
                <w:color w:val="000000" w:themeColor="text1"/>
                <w:sz w:val="18"/>
                <w:szCs w:val="18"/>
                <w:lang w:val="zh-CN"/>
                <w14:textFill>
                  <w14:solidFill>
                    <w14:schemeClr w14:val="tx1"/>
                  </w14:solidFill>
                </w14:textFill>
              </w:rPr>
              <w:t>Renstra Propinsi</w:t>
            </w:r>
          </w:p>
        </w:tc>
        <w:tc>
          <w:tcPr>
            <w:tcW w:w="2009"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 xml:space="preserve">Permasalahan </w:t>
            </w:r>
          </w:p>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Pelayanan OPD Disdag KUKM</w:t>
            </w:r>
          </w:p>
        </w:tc>
        <w:tc>
          <w:tcPr>
            <w:tcW w:w="4510" w:type="dxa"/>
            <w:gridSpan w:val="2"/>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Sebagai Faktor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835"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009"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126"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Penghambat</w:t>
            </w:r>
          </w:p>
        </w:tc>
        <w:tc>
          <w:tcPr>
            <w:tcW w:w="2384"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Pendorong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(1)</w:t>
            </w:r>
          </w:p>
        </w:tc>
        <w:tc>
          <w:tcPr>
            <w:tcW w:w="2835"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(2)</w:t>
            </w:r>
          </w:p>
        </w:tc>
        <w:tc>
          <w:tcPr>
            <w:tcW w:w="2009"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(3)</w:t>
            </w:r>
          </w:p>
        </w:tc>
        <w:tc>
          <w:tcPr>
            <w:tcW w:w="2126"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(4)</w:t>
            </w:r>
          </w:p>
        </w:tc>
        <w:tc>
          <w:tcPr>
            <w:tcW w:w="2384"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jc w:val="center"/>
        </w:trPr>
        <w:tc>
          <w:tcPr>
            <w:tcW w:w="518" w:type="dxa"/>
            <w:shd w:val="clear" w:color="auto" w:fill="auto"/>
          </w:tcPr>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1.</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tc>
        <w:tc>
          <w:tcPr>
            <w:tcW w:w="2835" w:type="dxa"/>
            <w:shd w:val="clear" w:color="auto" w:fill="auto"/>
          </w:tcPr>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Peningkatan Kegiatan Usaha Koperasi dan UKM layak secara bisnis</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tc>
        <w:tc>
          <w:tcPr>
            <w:tcW w:w="2009" w:type="dxa"/>
            <w:shd w:val="clear" w:color="auto" w:fill="auto"/>
          </w:tcPr>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Kapasitas SDM kader koperasi dan UKM untuk melakukan pembinaan kepada kelompok masyarakat masih rendah </w:t>
            </w: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p>
        </w:tc>
        <w:tc>
          <w:tcPr>
            <w:tcW w:w="2126" w:type="dxa"/>
            <w:shd w:val="clear" w:color="auto" w:fill="auto"/>
          </w:tcPr>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1. Rendahnya SDM Pengurus dan Pengelola Koperasi. </w:t>
            </w: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ind w:left="337" w:firstLine="54"/>
              <w:rPr>
                <w:rFonts w:ascii="Bookman Old Style" w:hAnsi="Bookman Old Style" w:eastAsia="Times New Roman" w:cs="Times New Roman"/>
                <w:color w:val="000000" w:themeColor="text1"/>
                <w:sz w:val="18"/>
                <w:szCs w:val="18"/>
                <w14:textFill>
                  <w14:solidFill>
                    <w14:schemeClr w14:val="tx1"/>
                  </w14:solidFill>
                </w14:textFill>
              </w:rPr>
            </w:pPr>
          </w:p>
        </w:tc>
        <w:tc>
          <w:tcPr>
            <w:tcW w:w="2384" w:type="dxa"/>
            <w:shd w:val="clear" w:color="auto" w:fill="auto"/>
          </w:tcPr>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1.  Ketersediaan ruang-ruang usaha baik formal maupun informal untuk wirausaha yang sudah ada dan wirausaha baru bagi </w:t>
            </w:r>
          </w:p>
          <w:p>
            <w:pPr>
              <w:autoSpaceDE w:val="0"/>
              <w:autoSpaceDN w:val="0"/>
              <w:adjustRightInd w:val="0"/>
              <w:spacing w:after="0" w:line="240" w:lineRule="auto"/>
              <w:ind w:left="337" w:hanging="337"/>
              <w:rPr>
                <w:rFonts w:ascii="Bookman Old Style" w:hAnsi="Bookman Old Style" w:eastAsia="Times New Roman" w:cs="Times New Roman"/>
                <w:sz w:val="18"/>
                <w:szCs w:val="18"/>
              </w:rPr>
            </w:pPr>
            <w:r>
              <w:rPr>
                <w:rFonts w:ascii="Bookman Old Style" w:hAnsi="Bookman Old Style" w:eastAsia="Times New Roman" w:cs="Times New Roman"/>
                <w:color w:val="000000" w:themeColor="text1"/>
                <w:sz w:val="18"/>
                <w:szCs w:val="18"/>
                <w14:textFill>
                  <w14:solidFill>
                    <w14:schemeClr w14:val="tx1"/>
                  </w14:solidFill>
                </w14:textFill>
              </w:rPr>
              <w:t xml:space="preserve">     peningkatan skala usaha dan skala pasar dan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18" w:type="dxa"/>
            <w:shd w:val="clear" w:color="auto" w:fill="auto"/>
          </w:tcPr>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tc>
        <w:tc>
          <w:tcPr>
            <w:tcW w:w="2835" w:type="dxa"/>
            <w:shd w:val="clear" w:color="auto" w:fill="auto"/>
          </w:tcPr>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tc>
        <w:tc>
          <w:tcPr>
            <w:tcW w:w="2009" w:type="dxa"/>
            <w:shd w:val="clear" w:color="auto" w:fill="auto"/>
          </w:tcPr>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imes New Roman"/>
                <w:color w:val="000000" w:themeColor="text1"/>
                <w:sz w:val="18"/>
                <w:szCs w:val="18"/>
                <w14:textFill>
                  <w14:solidFill>
                    <w14:schemeClr w14:val="tx1"/>
                  </w14:solidFill>
                </w14:textFill>
              </w:rPr>
            </w:pPr>
          </w:p>
        </w:tc>
        <w:tc>
          <w:tcPr>
            <w:tcW w:w="2126" w:type="dxa"/>
            <w:shd w:val="clear" w:color="auto" w:fill="auto"/>
          </w:tcPr>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ind w:left="337" w:firstLine="54"/>
              <w:rPr>
                <w:rFonts w:ascii="Bookman Old Style" w:hAnsi="Bookman Old Style" w:eastAsia="Times New Roman" w:cs="Times New Roman"/>
                <w:color w:val="000000" w:themeColor="text1"/>
                <w:sz w:val="18"/>
                <w:szCs w:val="18"/>
                <w14:textFill>
                  <w14:solidFill>
                    <w14:schemeClr w14:val="tx1"/>
                  </w14:solidFill>
                </w14:textFill>
              </w:rPr>
            </w:pPr>
          </w:p>
        </w:tc>
        <w:tc>
          <w:tcPr>
            <w:tcW w:w="2384" w:type="dxa"/>
            <w:shd w:val="clear" w:color="auto" w:fill="auto"/>
          </w:tcPr>
          <w:p>
            <w:pPr>
              <w:autoSpaceDE w:val="0"/>
              <w:autoSpaceDN w:val="0"/>
              <w:adjustRightIn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didukung oleh  aturan yang pasti.</w:t>
            </w:r>
          </w:p>
          <w:p>
            <w:pPr>
              <w:spacing w:line="256" w:lineRule="auto"/>
              <w:ind w:left="360" w:hanging="209"/>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18" w:type="dxa"/>
            <w:shd w:val="clear" w:color="auto" w:fill="auto"/>
          </w:tcPr>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3.</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4.</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5.</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6.</w:t>
            </w: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18"/>
                <w:szCs w:val="18"/>
                <w14:textFill>
                  <w14:solidFill>
                    <w14:schemeClr w14:val="tx1"/>
                  </w14:solidFill>
                </w14:textFill>
              </w:rPr>
            </w:pPr>
          </w:p>
        </w:tc>
        <w:tc>
          <w:tcPr>
            <w:tcW w:w="2835" w:type="dxa"/>
            <w:shd w:val="clear" w:color="auto" w:fill="auto"/>
          </w:tcPr>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Penyediaan Produk hasil usaha Koperasi dan UKM yang bernilai tinggi, daya saing tinggi dan memenuhi syarat dan standardisasi pasar</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Peningkatan Kegiatan Usaha Koperasi dan UKM yang memiliki akses seluas-luasnya terhadap pengembangan sumber daya (manusia, modal teknologi sesuai potensi yang dimiliki).</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Peningkatan Kegiatan Usaha Koperasi dan UKM yang memiliki daya saing dalam perekonomian wilayah, nasional dan internasional.</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Dukungan Sinkronisasi Tata Ruang dan kemampuan menjaga daya dukung dan daya tampung lingkungan.</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Peningkatan kegiatan pengawasan dan pengendalian bagi usaha-usaha yang tidak sesuai dengan tata ruang dan daya dukung wilayah</w:t>
            </w:r>
          </w:p>
        </w:tc>
        <w:tc>
          <w:tcPr>
            <w:tcW w:w="2009" w:type="dxa"/>
            <w:shd w:val="clear" w:color="auto" w:fill="auto"/>
          </w:tcPr>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jc w:val="both"/>
              <w:rPr>
                <w:rFonts w:ascii="Bookman Old Style" w:hAnsi="Bookman Old Style" w:eastAsia="Times New Roman" w:cs="Tahoma"/>
                <w:color w:val="000000" w:themeColor="text1"/>
                <w:sz w:val="18"/>
                <w:szCs w:val="18"/>
                <w14:textFill>
                  <w14:solidFill>
                    <w14:schemeClr w14:val="tx1"/>
                  </w14:solidFill>
                </w14:textFill>
              </w:rPr>
            </w:pPr>
          </w:p>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pemberdayaan dan pengembangan KUKM belum optimal</w:t>
            </w:r>
          </w:p>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kapasitas usaha karena kurangnya SDM, temu bisnis, bimbingan dan konsultasi KUKM pengetahuan ilmu dan teknologi belum berkembang</w:t>
            </w:r>
          </w:p>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Akses pelaku usaha Koperasi terhadap layanan perbankan masih rendah</w:t>
            </w:r>
          </w:p>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koordinasi dengan pihak terkait dalam rangka pemberdayaan KUKM belum optimal</w:t>
            </w:r>
          </w:p>
          <w:p>
            <w:pPr>
              <w:numPr>
                <w:ilvl w:val="0"/>
                <w:numId w:val="80"/>
              </w:numPr>
              <w:autoSpaceDE w:val="0"/>
              <w:autoSpaceDN w:val="0"/>
              <w:adjustRightInd w:val="0"/>
              <w:spacing w:after="0" w:line="240" w:lineRule="auto"/>
              <w:ind w:left="334" w:hanging="357"/>
              <w:contextualSpacing/>
              <w:jc w:val="both"/>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Pengawasan dari internal koperasi terhadap pengelolaan koperasi masih rendah</w:t>
            </w: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ahoma"/>
                <w:color w:val="000000" w:themeColor="text1"/>
                <w:sz w:val="18"/>
                <w:szCs w:val="18"/>
                <w14:textFill>
                  <w14:solidFill>
                    <w14:schemeClr w14:val="tx1"/>
                  </w14:solidFill>
                </w14:textFill>
              </w:rPr>
            </w:pP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p>
        </w:tc>
        <w:tc>
          <w:tcPr>
            <w:tcW w:w="2126" w:type="dxa"/>
            <w:shd w:val="clear" w:color="auto" w:fill="auto"/>
          </w:tcPr>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434" w:hanging="434"/>
              <w:jc w:val="both"/>
              <w:rPr>
                <w:rFonts w:ascii="Bookman Old Style" w:hAnsi="Bookman Old Style" w:eastAsia="Times New Roman" w:cs="Times New Roman"/>
                <w:color w:val="000000" w:themeColor="text1"/>
                <w:sz w:val="18"/>
                <w:szCs w:val="18"/>
                <w14:textFill>
                  <w14:solidFill>
                    <w14:schemeClr w14:val="tx1"/>
                  </w14:solidFill>
                </w14:textFill>
              </w:rPr>
            </w:pPr>
          </w:p>
          <w:p>
            <w:pPr>
              <w:numPr>
                <w:ilvl w:val="0"/>
                <w:numId w:val="81"/>
              </w:numPr>
              <w:autoSpaceDE w:val="0"/>
              <w:autoSpaceDN w:val="0"/>
              <w:adjustRightInd w:val="0"/>
              <w:spacing w:after="0" w:line="240" w:lineRule="auto"/>
              <w:ind w:left="337" w:hanging="360"/>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Belum berkembangnya kapasitas usaha karena kurangnya SDM, temu bisnis, bimbingan dan konsultasi KUKM pengetahuan ilmu dan teknologi</w:t>
            </w:r>
          </w:p>
          <w:p>
            <w:pPr>
              <w:numPr>
                <w:ilvl w:val="0"/>
                <w:numId w:val="81"/>
              </w:numPr>
              <w:autoSpaceDE w:val="0"/>
              <w:autoSpaceDN w:val="0"/>
              <w:adjustRightInd w:val="0"/>
              <w:spacing w:after="0" w:line="240" w:lineRule="auto"/>
              <w:ind w:left="337" w:hanging="360"/>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Kurangnya produk UMKM yang memiliki standar pasar</w:t>
            </w:r>
          </w:p>
          <w:p>
            <w:pPr>
              <w:numPr>
                <w:ilvl w:val="0"/>
                <w:numId w:val="81"/>
              </w:numPr>
              <w:autoSpaceDE w:val="0"/>
              <w:autoSpaceDN w:val="0"/>
              <w:adjustRightInd w:val="0"/>
              <w:spacing w:after="0" w:line="240" w:lineRule="auto"/>
              <w:ind w:left="337" w:hanging="360"/>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Kurangnya Pengetahuan Pelaku Usaha dalam menumbuh kembangkan kewirausahan. </w:t>
            </w:r>
          </w:p>
          <w:p>
            <w:pPr>
              <w:numPr>
                <w:ilvl w:val="0"/>
                <w:numId w:val="81"/>
              </w:numPr>
              <w:autoSpaceDE w:val="0"/>
              <w:autoSpaceDN w:val="0"/>
              <w:adjustRightInd w:val="0"/>
              <w:spacing w:after="0" w:line="240" w:lineRule="auto"/>
              <w:ind w:left="337" w:hanging="360"/>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Rendahnya keinginan masyarakat untuk cinta </w:t>
            </w:r>
          </w:p>
          <w:p>
            <w:pPr>
              <w:numPr>
                <w:ilvl w:val="0"/>
                <w:numId w:val="81"/>
              </w:numPr>
              <w:autoSpaceDE w:val="0"/>
              <w:autoSpaceDN w:val="0"/>
              <w:adjustRightInd w:val="0"/>
              <w:spacing w:after="0" w:line="240" w:lineRule="auto"/>
              <w:ind w:left="337" w:hanging="360"/>
              <w:contextualSpacing/>
              <w:jc w:val="both"/>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Perlunya rumah kemasan pusat kuliner dan oleh-oleh produk lokal. </w:t>
            </w:r>
          </w:p>
          <w:p>
            <w:pPr>
              <w:snapToGrid w:val="0"/>
              <w:spacing w:after="0" w:line="240" w:lineRule="auto"/>
              <w:ind w:left="337" w:firstLine="54"/>
              <w:rPr>
                <w:rFonts w:ascii="Bookman Old Style" w:hAnsi="Bookman Old Style" w:eastAsia="Times New Roman" w:cs="Times New Roman"/>
                <w:color w:val="000000" w:themeColor="text1"/>
                <w:sz w:val="18"/>
                <w:szCs w:val="18"/>
                <w14:textFill>
                  <w14:solidFill>
                    <w14:schemeClr w14:val="tx1"/>
                  </w14:solidFill>
                </w14:textFill>
              </w:rPr>
            </w:pPr>
          </w:p>
        </w:tc>
        <w:tc>
          <w:tcPr>
            <w:tcW w:w="2384" w:type="dxa"/>
            <w:shd w:val="clear" w:color="auto" w:fill="auto"/>
          </w:tcPr>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  Tersedianya sentra-sentra usaha pertumbuhan baru sesuai daya dukung dan potensi wilayah serta lingkungan</w:t>
            </w:r>
          </w:p>
          <w:p>
            <w:pPr>
              <w:spacing w:line="256" w:lineRule="auto"/>
              <w:ind w:left="360" w:hanging="209"/>
              <w:rPr>
                <w:rFonts w:ascii="Bookman Old Style" w:hAnsi="Bookman Old Style" w:eastAsia="Times New Roman" w:cs="Times New Roman"/>
                <w:sz w:val="18"/>
                <w:szCs w:val="18"/>
              </w:rPr>
            </w:pPr>
            <w:r>
              <w:rPr>
                <w:rFonts w:ascii="Bookman Old Style" w:hAnsi="Bookman Old Style" w:eastAsia="Times New Roman" w:cs="Times New Roman"/>
                <w:sz w:val="18"/>
                <w:szCs w:val="18"/>
              </w:rPr>
              <w:t>3. Penentuan product, Price,Place,Promotion dalam bisnis UMKM sesuai dengan kebutuhan yang diinginkan oleh semua konsumen</w:t>
            </w:r>
          </w:p>
          <w:p>
            <w:pPr>
              <w:spacing w:line="256" w:lineRule="auto"/>
              <w:ind w:left="360" w:hanging="209"/>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sz w:val="18"/>
                <w:szCs w:val="18"/>
              </w:rPr>
              <w:t>4.Percepatan UMKM naik kelas yaitu adanya Perizinan sehingga UMKM mampu merambah pasarnya ke skala nsional bahkan ekspor</w:t>
            </w:r>
          </w:p>
        </w:tc>
      </w:tr>
    </w:tbl>
    <w:p>
      <w:pPr>
        <w:autoSpaceDE w:val="0"/>
        <w:autoSpaceDN w:val="0"/>
        <w:adjustRightInd w:val="0"/>
        <w:spacing w:after="0" w:line="360" w:lineRule="auto"/>
        <w:jc w:val="both"/>
        <w:rPr>
          <w:rFonts w:ascii="Bookman Old Style" w:hAnsi="Bookman Old Style" w:eastAsia="Times New Roman" w:cs="Times New Roman"/>
          <w:color w:val="000000" w:themeColor="text1"/>
          <w:sz w:val="24"/>
          <w:szCs w:val="20"/>
          <w14:textFill>
            <w14:solidFill>
              <w14:schemeClr w14:val="tx1"/>
            </w14:solidFill>
          </w14:textFill>
        </w:rPr>
      </w:pPr>
    </w:p>
    <w:p>
      <w:pPr>
        <w:numPr>
          <w:ilvl w:val="3"/>
          <w:numId w:val="66"/>
        </w:numPr>
        <w:spacing w:after="0" w:line="360" w:lineRule="auto"/>
        <w:ind w:left="1134" w:hanging="1134"/>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Telaahan Renstra Dinas Perdagangan Provinsi</w:t>
      </w:r>
    </w:p>
    <w:p>
      <w:pPr>
        <w:spacing w:after="0" w:line="240" w:lineRule="auto"/>
        <w:ind w:left="720"/>
        <w:contextualSpacing/>
        <w:rPr>
          <w:rFonts w:ascii="Bookman Old Style" w:hAnsi="Bookman Old Style" w:eastAsia="Times New Roman" w:cs="Tahoma"/>
          <w:b/>
          <w:bCs/>
          <w:color w:val="000000" w:themeColor="text1"/>
          <w:sz w:val="24"/>
          <w:szCs w:val="24"/>
          <w14:textFill>
            <w14:solidFill>
              <w14:schemeClr w14:val="tx1"/>
            </w14:solidFill>
          </w14:textFill>
        </w:rPr>
      </w:pPr>
    </w:p>
    <w:p>
      <w:pPr>
        <w:tabs>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Untuk m</w:t>
      </w:r>
      <w:r>
        <w:rPr>
          <w:rFonts w:ascii="Bookman Old Style" w:hAnsi="Bookman Old Style" w:eastAsia="Times New Roman" w:cs="Times New Roman"/>
          <w:color w:val="000000" w:themeColor="text1"/>
          <w:sz w:val="24"/>
          <w:szCs w:val="24"/>
          <w:lang w:eastAsia="id-ID"/>
          <w14:textFill>
            <w14:solidFill>
              <w14:schemeClr w14:val="tx1"/>
            </w14:solidFill>
          </w14:textFill>
        </w:rPr>
        <w:t>ewujudkan Visi Dinas Perdagangan Provinsi Sulawesi Selatan melalui pelaksanaan misi yang telah ditetapkan, maka dirumuskan tujuan dan sasaran di sektor perdagangan yang akan dicapai sebagai bentuk perwujudan dalam perencanaan pembangunan jangka menengah daerah</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 Tujuan Dinas Perdagangan Propinsi Sulawesi Selatan tahun 2018-2023, adalah meningkatkan kinerja ekspor nonmigas secara berkualitas dan meningkatnya </w:t>
      </w:r>
      <w:r>
        <w:rPr>
          <w:rFonts w:ascii="Bookman Old Style" w:hAnsi="Bookman Old Style" w:eastAsia="Times New Roman" w:cs="Times New Roman"/>
          <w:color w:val="000000" w:themeColor="text1"/>
          <w:sz w:val="24"/>
          <w:szCs w:val="24"/>
          <w:lang w:eastAsia="id-ID"/>
          <w14:textFill>
            <w14:solidFill>
              <w14:schemeClr w14:val="tx1"/>
            </w14:solidFill>
          </w14:textFill>
        </w:rPr>
        <w:t>konsumsi daerah yang mendukung pertumbuhan ekonomi</w:t>
      </w:r>
      <w:r>
        <w:rPr>
          <w:rFonts w:ascii="Bookman Old Style" w:hAnsi="Bookman Old Style" w:eastAsia="Times New Roman" w:cs="Tahoma"/>
          <w:color w:val="000000" w:themeColor="text1"/>
          <w:sz w:val="24"/>
          <w:szCs w:val="24"/>
          <w:lang w:eastAsia="id-ID"/>
          <w14:textFill>
            <w14:solidFill>
              <w14:schemeClr w14:val="tx1"/>
            </w14:solidFill>
          </w14:textFill>
        </w:rPr>
        <w:t>.</w:t>
      </w:r>
    </w:p>
    <w:p>
      <w:pPr>
        <w:tabs>
          <w:tab w:val="left" w:pos="1701"/>
          <w:tab w:val="left" w:pos="2127"/>
        </w:tabs>
        <w:autoSpaceDE w:val="0"/>
        <w:autoSpaceDN w:val="0"/>
        <w:adjustRightInd w:val="0"/>
        <w:spacing w:after="0" w:line="360" w:lineRule="auto"/>
        <w:ind w:left="1134"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Agar tujuan itu tercapai, maka dilakukan penguatan pasar dalam negeri, menjaga ketersediaan bahan pokok dan peguatan jaringan distribusi nasional serta</w:t>
      </w:r>
      <w:r>
        <w:rPr>
          <w:rFonts w:ascii="Bookman Old Style" w:hAnsi="Bookman Old Style" w:eastAsia="Times New Roman" w:cs="Times New Roman"/>
          <w:color w:val="000000" w:themeColor="text1"/>
          <w:sz w:val="24"/>
          <w:szCs w:val="24"/>
          <w:lang w:eastAsia="id-ID"/>
          <w14:textFill>
            <w14:solidFill>
              <w14:schemeClr w14:val="tx1"/>
            </w14:solidFill>
          </w14:textFill>
        </w:rPr>
        <w:t xml:space="preserve"> </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Pengendalian harga yang dilakukan mempengaruhi laju inflasi nasional. </w:t>
      </w:r>
    </w:p>
    <w:p>
      <w:pPr>
        <w:tabs>
          <w:tab w:val="left" w:pos="1276"/>
          <w:tab w:val="left" w:pos="1701"/>
          <w:tab w:val="left" w:pos="2127"/>
        </w:tabs>
        <w:autoSpaceDE w:val="0"/>
        <w:autoSpaceDN w:val="0"/>
        <w:adjustRightInd w:val="0"/>
        <w:spacing w:after="0" w:line="360" w:lineRule="auto"/>
        <w:ind w:left="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Begitu pula penetrasi pasar juga mempengaruhi harga tetap stabil dan memantau pengamanan sehingga ditetapkan sasaran strategis sebagai berikut :</w:t>
      </w:r>
    </w:p>
    <w:p>
      <w:pPr>
        <w:numPr>
          <w:ilvl w:val="0"/>
          <w:numId w:val="82"/>
        </w:numPr>
        <w:tabs>
          <w:tab w:val="left" w:pos="1276"/>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Meningkatnya kinerja ekspor non migas</w:t>
      </w:r>
    </w:p>
    <w:p>
      <w:pPr>
        <w:numPr>
          <w:ilvl w:val="0"/>
          <w:numId w:val="82"/>
        </w:numPr>
        <w:tabs>
          <w:tab w:val="left" w:pos="1276"/>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Terwujudnya stabilisasi harga dan ketersediaan pasokan barang kebutuhan pokok</w:t>
      </w:r>
    </w:p>
    <w:p>
      <w:pPr>
        <w:numPr>
          <w:ilvl w:val="0"/>
          <w:numId w:val="82"/>
        </w:numPr>
        <w:tabs>
          <w:tab w:val="left" w:pos="1276"/>
          <w:tab w:val="left" w:pos="1701"/>
        </w:tabs>
        <w:autoSpaceDE w:val="0"/>
        <w:autoSpaceDN w:val="0"/>
        <w:adjustRightInd w:val="0"/>
        <w:spacing w:after="0" w:line="360" w:lineRule="auto"/>
        <w:ind w:left="1560" w:hanging="36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imes New Roman"/>
          <w:color w:val="000000" w:themeColor="text1"/>
          <w:sz w:val="24"/>
          <w:szCs w:val="24"/>
          <w:lang w:eastAsia="id-ID"/>
          <w14:textFill>
            <w14:solidFill>
              <w14:schemeClr w14:val="tx1"/>
            </w14:solidFill>
          </w14:textFill>
        </w:rPr>
        <w:t>Terwujudnya konsumen berdaya dan pelaku usaha yang bertanggung jawab</w:t>
      </w: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snapToGrid w:val="0"/>
        <w:spacing w:after="12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Tabel. 3.3.2.2.1</w:t>
      </w:r>
    </w:p>
    <w:p>
      <w:pPr>
        <w:tabs>
          <w:tab w:val="left" w:pos="1276"/>
          <w:tab w:val="left" w:pos="1701"/>
        </w:tabs>
        <w:autoSpaceDE w:val="0"/>
        <w:autoSpaceDN w:val="0"/>
        <w:adjustRightInd w:val="0"/>
        <w:spacing w:after="0" w:line="360" w:lineRule="auto"/>
        <w:ind w:left="1560"/>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Permasalahan Pelayanan Dinas Perdagangan, Koperasi, Usaha Kecil dan Menengah Kabupaten Kepulauan Selayar berdasarkan Sasaran Renstra Dinas Perdagangan Propinsi beserta Faktor Penghambat dan Pendorong Keberhasilan Penanganannya.</w:t>
      </w:r>
    </w:p>
    <w:tbl>
      <w:tblPr>
        <w:tblStyle w:val="4"/>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009"/>
        <w:gridCol w:w="2144"/>
        <w:gridCol w:w="2552"/>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1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No</w:t>
            </w:r>
          </w:p>
        </w:tc>
        <w:tc>
          <w:tcPr>
            <w:tcW w:w="2009"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lang w:val="zh-CN"/>
                <w14:textFill>
                  <w14:solidFill>
                    <w14:schemeClr w14:val="tx1"/>
                  </w14:solidFill>
                </w14:textFill>
              </w:rPr>
            </w:pPr>
            <w:r>
              <w:rPr>
                <w:rFonts w:ascii="Bookman Old Style" w:hAnsi="Bookman Old Style" w:eastAsia="Times New Roman" w:cs="Times New Roman"/>
                <w:b/>
                <w:color w:val="000000" w:themeColor="text1"/>
                <w:sz w:val="20"/>
                <w:szCs w:val="20"/>
                <w:lang w:val="zh-CN"/>
                <w14:textFill>
                  <w14:solidFill>
                    <w14:schemeClr w14:val="tx1"/>
                  </w14:solidFill>
                </w14:textFill>
              </w:rPr>
              <w:t>Sas</w:t>
            </w:r>
            <w:r>
              <w:rPr>
                <w:rFonts w:ascii="Bookman Old Style" w:hAnsi="Bookman Old Style" w:eastAsia="Times New Roman" w:cs="Times New Roman"/>
                <w:b/>
                <w:color w:val="000000" w:themeColor="text1"/>
                <w:sz w:val="20"/>
                <w:szCs w:val="20"/>
                <w:lang w:val="sv-SE"/>
                <w14:textFill>
                  <w14:solidFill>
                    <w14:schemeClr w14:val="tx1"/>
                  </w14:solidFill>
                </w14:textFill>
              </w:rPr>
              <w:t xml:space="preserve">aran Jangka Menengah </w:t>
            </w:r>
            <w:r>
              <w:rPr>
                <w:rFonts w:ascii="Bookman Old Style" w:hAnsi="Bookman Old Style" w:eastAsia="Times New Roman" w:cs="Times New Roman"/>
                <w:b/>
                <w:color w:val="000000" w:themeColor="text1"/>
                <w:sz w:val="20"/>
                <w:szCs w:val="20"/>
                <w:lang w:val="zh-CN"/>
                <w14:textFill>
                  <w14:solidFill>
                    <w14:schemeClr w14:val="tx1"/>
                  </w14:solidFill>
                </w14:textFill>
              </w:rPr>
              <w:t>Renstra Dinas Propinsi</w:t>
            </w:r>
          </w:p>
        </w:tc>
        <w:tc>
          <w:tcPr>
            <w:tcW w:w="2144"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 xml:space="preserve">Permasalahan </w:t>
            </w:r>
          </w:p>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Pelayanan OPD Disdag KUKM</w:t>
            </w:r>
          </w:p>
        </w:tc>
        <w:tc>
          <w:tcPr>
            <w:tcW w:w="4962" w:type="dxa"/>
            <w:gridSpan w:val="2"/>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Sebagai Faktor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2009"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2144"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p>
        </w:tc>
        <w:tc>
          <w:tcPr>
            <w:tcW w:w="2552"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Penghambat</w:t>
            </w:r>
          </w:p>
        </w:tc>
        <w:tc>
          <w:tcPr>
            <w:tcW w:w="2410"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Pendorong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8"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(1)</w:t>
            </w:r>
          </w:p>
        </w:tc>
        <w:tc>
          <w:tcPr>
            <w:tcW w:w="2009"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(2)</w:t>
            </w:r>
          </w:p>
        </w:tc>
        <w:tc>
          <w:tcPr>
            <w:tcW w:w="2144"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(3)</w:t>
            </w:r>
          </w:p>
        </w:tc>
        <w:tc>
          <w:tcPr>
            <w:tcW w:w="2552"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(4)</w:t>
            </w:r>
          </w:p>
        </w:tc>
        <w:tc>
          <w:tcPr>
            <w:tcW w:w="2410" w:type="dxa"/>
            <w:shd w:val="clear" w:color="auto" w:fill="FABF8F"/>
            <w:vAlign w:val="center"/>
          </w:tcPr>
          <w:p>
            <w:pPr>
              <w:snapToGrid w:val="0"/>
              <w:spacing w:after="0" w:line="240" w:lineRule="auto"/>
              <w:jc w:val="center"/>
              <w:rPr>
                <w:rFonts w:ascii="Bookman Old Style" w:hAnsi="Bookman Old Style" w:eastAsia="Times New Roman" w:cs="Times New Roman"/>
                <w:b/>
                <w:color w:val="000000" w:themeColor="text1"/>
                <w:sz w:val="20"/>
                <w:szCs w:val="20"/>
                <w14:textFill>
                  <w14:solidFill>
                    <w14:schemeClr w14:val="tx1"/>
                  </w14:solidFill>
                </w14:textFill>
              </w:rPr>
            </w:pPr>
            <w:r>
              <w:rPr>
                <w:rFonts w:ascii="Bookman Old Style" w:hAnsi="Bookman Old Style" w:eastAsia="Times New Roman" w:cs="Times New Roman"/>
                <w:b/>
                <w:color w:val="000000" w:themeColor="text1"/>
                <w:sz w:val="20"/>
                <w:szCs w:val="20"/>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0" w:hRule="atLeast"/>
          <w:jc w:val="center"/>
        </w:trPr>
        <w:tc>
          <w:tcPr>
            <w:tcW w:w="518" w:type="dxa"/>
            <w:shd w:val="clear" w:color="auto" w:fill="auto"/>
          </w:tcPr>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w:t>
            </w: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w:t>
            </w: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3.</w:t>
            </w: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p>
            <w:pPr>
              <w:snapToGrid w:val="0"/>
              <w:spacing w:after="0" w:line="240" w:lineRule="auto"/>
              <w:jc w:val="center"/>
              <w:rPr>
                <w:rFonts w:ascii="Bookman Old Style" w:hAnsi="Bookman Old Style" w:eastAsia="Times New Roman" w:cs="Times New Roman"/>
                <w:color w:val="000000" w:themeColor="text1"/>
                <w:sz w:val="20"/>
                <w:szCs w:val="20"/>
                <w14:textFill>
                  <w14:solidFill>
                    <w14:schemeClr w14:val="tx1"/>
                  </w14:solidFill>
                </w14:textFill>
              </w:rPr>
            </w:pPr>
          </w:p>
        </w:tc>
        <w:tc>
          <w:tcPr>
            <w:tcW w:w="2009" w:type="dxa"/>
            <w:shd w:val="clear" w:color="auto" w:fill="auto"/>
          </w:tcPr>
          <w:p>
            <w:pPr>
              <w:tabs>
                <w:tab w:val="left" w:pos="1701"/>
              </w:tabs>
              <w:autoSpaceDE w:val="0"/>
              <w:autoSpaceDN w:val="0"/>
              <w:adjustRightInd w:val="0"/>
              <w:spacing w:after="0" w:line="240" w:lineRule="auto"/>
              <w:ind w:left="78"/>
              <w:contextualSpacing/>
              <w:jc w:val="both"/>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Meningkatnya kinerja ekspor non migas</w:t>
            </w:r>
          </w:p>
          <w:p>
            <w:pPr>
              <w:tabs>
                <w:tab w:val="left" w:pos="1701"/>
              </w:tabs>
              <w:autoSpaceDE w:val="0"/>
              <w:autoSpaceDN w:val="0"/>
              <w:adjustRightInd w:val="0"/>
              <w:spacing w:after="0" w:line="240" w:lineRule="auto"/>
              <w:ind w:left="78"/>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Tumbuh dan Terwujudnya stabilisasi harga dan ketersediaan pasokan barang kebutuhan pokok Terwujudnya konsumen berdaya dan pelaku usaha yang bertanggung jawab </w:t>
            </w:r>
          </w:p>
        </w:tc>
        <w:tc>
          <w:tcPr>
            <w:tcW w:w="2144" w:type="dxa"/>
            <w:shd w:val="clear" w:color="auto" w:fill="auto"/>
          </w:tcPr>
          <w:p>
            <w:pPr>
              <w:widowControl w:val="0"/>
              <w:numPr>
                <w:ilvl w:val="0"/>
                <w:numId w:val="83"/>
              </w:numPr>
              <w:autoSpaceDE w:val="0"/>
              <w:autoSpaceDN w:val="0"/>
              <w:spacing w:after="0" w:line="240" w:lineRule="auto"/>
              <w:ind w:left="337" w:hanging="360"/>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Kelangkaan barang, upaya penimbunan produk dan instabilitas harga masih sering terjadi</w:t>
            </w:r>
          </w:p>
          <w:p>
            <w:pPr>
              <w:widowControl w:val="0"/>
              <w:numPr>
                <w:ilvl w:val="0"/>
                <w:numId w:val="83"/>
              </w:numPr>
              <w:autoSpaceDE w:val="0"/>
              <w:autoSpaceDN w:val="0"/>
              <w:spacing w:after="0" w:line="240" w:lineRule="auto"/>
              <w:ind w:left="337" w:hanging="360"/>
              <w:contextualSpacing w:val="0"/>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kapasitas teknologi, SDM dan sistem produksi masih perlu ditingkatkan</w:t>
            </w: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ahoma"/>
                <w:color w:val="000000" w:themeColor="text1"/>
                <w:sz w:val="20"/>
                <w:szCs w:val="20"/>
                <w14:textFill>
                  <w14:solidFill>
                    <w14:schemeClr w14:val="tx1"/>
                  </w14:solidFill>
                </w14:textFill>
              </w:rPr>
            </w:pPr>
          </w:p>
          <w:p>
            <w:pPr>
              <w:tabs>
                <w:tab w:val="left" w:pos="1701"/>
              </w:tabs>
              <w:autoSpaceDE w:val="0"/>
              <w:autoSpaceDN w:val="0"/>
              <w:adjustRightInd w:val="0"/>
              <w:spacing w:after="0" w:line="240" w:lineRule="auto"/>
              <w:ind w:left="334"/>
              <w:contextualSpacing/>
              <w:jc w:val="both"/>
              <w:rPr>
                <w:rFonts w:ascii="Bookman Old Style" w:hAnsi="Bookman Old Style" w:eastAsia="Times New Roman" w:cs="Times New Roman"/>
                <w:color w:val="000000" w:themeColor="text1"/>
                <w:sz w:val="20"/>
                <w:szCs w:val="20"/>
                <w14:textFill>
                  <w14:solidFill>
                    <w14:schemeClr w14:val="tx1"/>
                  </w14:solidFill>
                </w14:textFill>
              </w:rPr>
            </w:pPr>
          </w:p>
        </w:tc>
        <w:tc>
          <w:tcPr>
            <w:tcW w:w="2552" w:type="dxa"/>
            <w:shd w:val="clear" w:color="auto" w:fill="auto"/>
          </w:tcPr>
          <w:p>
            <w:pPr>
              <w:tabs>
                <w:tab w:val="left" w:pos="176"/>
                <w:tab w:val="left" w:pos="1418"/>
              </w:tabs>
              <w:autoSpaceDE w:val="0"/>
              <w:autoSpaceDN w:val="0"/>
              <w:adjustRightInd w:val="0"/>
              <w:spacing w:after="0" w:line="240" w:lineRule="auto"/>
              <w:ind w:left="176" w:hanging="284"/>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1.</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0"/>
                <w:szCs w:val="20"/>
                <w14:textFill>
                  <w14:solidFill>
                    <w14:schemeClr w14:val="tx1"/>
                  </w14:solidFill>
                </w14:textFill>
              </w:rPr>
              <w:t>Kurang lancarnya penyediaan bahan baku perdagangan</w:t>
            </w:r>
          </w:p>
          <w:p>
            <w:pPr>
              <w:tabs>
                <w:tab w:val="left" w:pos="176"/>
                <w:tab w:val="left" w:pos="1418"/>
              </w:tabs>
              <w:autoSpaceDE w:val="0"/>
              <w:autoSpaceDN w:val="0"/>
              <w:adjustRightInd w:val="0"/>
              <w:spacing w:after="0" w:line="240" w:lineRule="auto"/>
              <w:ind w:left="176" w:hanging="284"/>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 Kelangkaan barang, upaya penimbunan produk dan instabilitas harga masih sering terjadi</w:t>
            </w:r>
          </w:p>
          <w:p>
            <w:pPr>
              <w:tabs>
                <w:tab w:val="left" w:pos="176"/>
                <w:tab w:val="left" w:pos="1418"/>
              </w:tabs>
              <w:autoSpaceDE w:val="0"/>
              <w:autoSpaceDN w:val="0"/>
              <w:adjustRightInd w:val="0"/>
              <w:spacing w:after="0" w:line="240" w:lineRule="auto"/>
              <w:ind w:left="176" w:hanging="284"/>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xml:space="preserve">3. Masih adanya tuntutan pasar terhadap standarisasi mutu produk Perdagangan, </w:t>
            </w:r>
          </w:p>
          <w:p>
            <w:pPr>
              <w:tabs>
                <w:tab w:val="left" w:pos="176"/>
                <w:tab w:val="left" w:pos="1418"/>
              </w:tabs>
              <w:autoSpaceDE w:val="0"/>
              <w:autoSpaceDN w:val="0"/>
              <w:adjustRightInd w:val="0"/>
              <w:spacing w:after="0" w:line="240" w:lineRule="auto"/>
              <w:ind w:left="176" w:hanging="284"/>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4. Masih terbatasnya sarana dan prasarana resi gudang</w:t>
            </w:r>
          </w:p>
          <w:p>
            <w:pPr>
              <w:tabs>
                <w:tab w:val="left" w:pos="1418"/>
              </w:tabs>
              <w:autoSpaceDE w:val="0"/>
              <w:autoSpaceDN w:val="0"/>
              <w:adjustRightInd w:val="0"/>
              <w:spacing w:after="0" w:line="240" w:lineRule="auto"/>
              <w:ind w:left="195" w:hanging="283"/>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5. Kurangnya tingkat kesadaran konsumen tentang tertib niaga dan perlindungan konsumen. </w:t>
            </w:r>
          </w:p>
          <w:p>
            <w:pPr>
              <w:autoSpaceDE w:val="0"/>
              <w:autoSpaceDN w:val="0"/>
              <w:adjustRightInd w:val="0"/>
              <w:spacing w:after="0" w:line="240" w:lineRule="auto"/>
              <w:ind w:left="176" w:hanging="284"/>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6. Masih adanya produk yang beredar di pasaran yang belum memenuhi persyaratan yang berlaku</w:t>
            </w:r>
          </w:p>
          <w:p>
            <w:pPr>
              <w:tabs>
                <w:tab w:val="left" w:pos="1418"/>
              </w:tabs>
              <w:autoSpaceDE w:val="0"/>
              <w:autoSpaceDN w:val="0"/>
              <w:adjustRightInd w:val="0"/>
              <w:spacing w:after="0" w:line="240" w:lineRule="auto"/>
              <w:ind w:left="176" w:hanging="284"/>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7.  Belum adanya kantor UPTD kemetrologian sebagai tempat penyimpanan peralatan tera</w:t>
            </w:r>
          </w:p>
        </w:tc>
        <w:tc>
          <w:tcPr>
            <w:tcW w:w="2410" w:type="dxa"/>
            <w:shd w:val="clear" w:color="auto" w:fill="auto"/>
          </w:tcPr>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1.  </w:t>
            </w:r>
            <w:r>
              <w:rPr>
                <w:rFonts w:ascii="Bookman Old Style" w:hAnsi="Bookman Old Style" w:eastAsia="Times New Roman" w:cs="Tahoma"/>
                <w:color w:val="000000" w:themeColor="text1"/>
                <w:sz w:val="20"/>
                <w:szCs w:val="20"/>
                <w14:textFill>
                  <w14:solidFill>
                    <w14:schemeClr w14:val="tx1"/>
                  </w14:solidFill>
                </w14:textFill>
              </w:rPr>
              <w:t>Undang-Undang Nomor 7 Tahun 2014 tentang Perdagangan</w:t>
            </w:r>
            <w:r>
              <w:rPr>
                <w:rFonts w:ascii="Bookman Old Style" w:hAnsi="Bookman Old Style" w:eastAsia="Times New Roman" w:cs="Times New Roman"/>
                <w:color w:val="000000" w:themeColor="text1"/>
                <w:sz w:val="20"/>
                <w:szCs w:val="20"/>
                <w14:textFill>
                  <w14:solidFill>
                    <w14:schemeClr w14:val="tx1"/>
                  </w14:solidFill>
                </w14:textFill>
              </w:rPr>
              <w:t xml:space="preserve">  </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2.  Ketersediaan SDA yang dapat mendukung pengembangan usaha disektor Perdagangan</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3.  Rencana penataan pedagang kaki lima di 5 desa yang termasuk prioritas gerakan membangun desa mandiri </w:t>
            </w:r>
          </w:p>
          <w:p>
            <w:pPr>
              <w:autoSpaceDE w:val="0"/>
              <w:autoSpaceDN w:val="0"/>
              <w:adjustRightInd w:val="0"/>
              <w:spacing w:after="0" w:line="240" w:lineRule="auto"/>
              <w:ind w:left="337" w:hanging="337"/>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4.  Bandar maritim didukung oleh3 pilar pembangunan yakni kawasan distribusi logistik ditopang oleh 5 sub kawasan , KEK dan KIPT</w:t>
            </w:r>
          </w:p>
        </w:tc>
      </w:tr>
    </w:tbl>
    <w:p>
      <w:pPr>
        <w:tabs>
          <w:tab w:val="left" w:pos="1701"/>
        </w:tabs>
        <w:autoSpaceDE w:val="0"/>
        <w:autoSpaceDN w:val="0"/>
        <w:adjustRightInd w:val="0"/>
        <w:spacing w:after="0" w:line="360" w:lineRule="auto"/>
        <w:ind w:left="709" w:firstLine="11"/>
        <w:jc w:val="both"/>
        <w:rPr>
          <w:rFonts w:ascii="Bookman Old Style" w:hAnsi="Bookman Old Style" w:eastAsia="Times New Roman" w:cs="Tahoma"/>
          <w:color w:val="000000" w:themeColor="text1"/>
          <w:sz w:val="24"/>
          <w:szCs w:val="20"/>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p>
    <w:p>
      <w:pPr>
        <w:numPr>
          <w:ilvl w:val="1"/>
          <w:numId w:val="84"/>
        </w:numPr>
        <w:tabs>
          <w:tab w:val="left" w:pos="1701"/>
        </w:tabs>
        <w:autoSpaceDE w:val="0"/>
        <w:autoSpaceDN w:val="0"/>
        <w:adjustRightInd w:val="0"/>
        <w:spacing w:after="0" w:line="360" w:lineRule="auto"/>
        <w:ind w:left="851" w:hanging="851"/>
        <w:jc w:val="both"/>
        <w:rPr>
          <w:rFonts w:ascii="Bookman Old Style" w:hAnsi="Bookman Old Style" w:eastAsia="Times New Roman" w:cs="Tahoma"/>
          <w:b/>
          <w:color w:val="000000" w:themeColor="text1"/>
          <w:sz w:val="24"/>
          <w:szCs w:val="24"/>
          <w:lang w:val="fi-FI" w:eastAsia="id-ID"/>
          <w14:textFill>
            <w14:solidFill>
              <w14:schemeClr w14:val="tx1"/>
            </w14:solidFill>
          </w14:textFill>
        </w:rPr>
      </w:pPr>
      <w:r>
        <w:rPr>
          <w:rFonts w:ascii="Bookman Old Style" w:hAnsi="Bookman Old Style" w:eastAsia="Times New Roman" w:cs="Tahoma"/>
          <w:b/>
          <w:color w:val="000000" w:themeColor="text1"/>
          <w:sz w:val="24"/>
          <w:szCs w:val="24"/>
          <w:lang w:eastAsia="id-ID"/>
          <w14:textFill>
            <w14:solidFill>
              <w14:schemeClr w14:val="tx1"/>
            </w14:solidFill>
          </w14:textFill>
        </w:rPr>
        <w:t xml:space="preserve">Telaahan </w:t>
      </w:r>
      <w:r>
        <w:rPr>
          <w:rFonts w:ascii="Bookman Old Style" w:hAnsi="Bookman Old Style" w:eastAsia="Times New Roman" w:cs="Times New Roman"/>
          <w:b/>
          <w:color w:val="000000"/>
          <w:sz w:val="24"/>
          <w:szCs w:val="24"/>
          <w:lang w:val="sv-SE" w:eastAsia="id-ID"/>
        </w:rPr>
        <w:t>Rencana Tata Ruang Wilayah dan Kajian Lingkungan Hidup Strategis RPJMD</w:t>
      </w:r>
    </w:p>
    <w:p>
      <w:pPr>
        <w:numPr>
          <w:ilvl w:val="2"/>
          <w:numId w:val="84"/>
        </w:numPr>
        <w:tabs>
          <w:tab w:val="left" w:pos="709"/>
        </w:tabs>
        <w:spacing w:after="0" w:line="360" w:lineRule="auto"/>
        <w:ind w:left="851" w:hanging="851"/>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 xml:space="preserve">Telaahan </w:t>
      </w:r>
      <w:r>
        <w:rPr>
          <w:rFonts w:ascii="Bookman Old Style" w:hAnsi="Bookman Old Style" w:eastAsia="Times New Roman" w:cs="Times New Roman"/>
          <w:b/>
          <w:sz w:val="24"/>
          <w:szCs w:val="20"/>
          <w:lang w:val="sv-SE"/>
        </w:rPr>
        <w:t>Rencana Tata Ruang Wilayah (RTRW)</w:t>
      </w:r>
    </w:p>
    <w:p>
      <w:pPr>
        <w:tabs>
          <w:tab w:val="left" w:pos="1985"/>
        </w:tabs>
        <w:spacing w:after="0" w:line="360" w:lineRule="auto"/>
        <w:ind w:left="851" w:firstLine="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Rencana Tata Ruang Wilayah Kabupaten Kepulauan Selayar Tahun 2012- 2032 telah disahkan melalui Peraturan Daerah Kabupaten Kepulauan Selayar Nomor 5 Tahun 2012.</w:t>
      </w:r>
    </w:p>
    <w:p>
      <w:pPr>
        <w:tabs>
          <w:tab w:val="left" w:pos="1985"/>
        </w:tabs>
        <w:spacing w:after="0" w:line="360" w:lineRule="auto"/>
        <w:ind w:left="851" w:firstLine="709"/>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Tujuan umum penataan ruang wilayah kabupaten adalah untuk menata ruang wilayah Kepulauan Selayar dalam </w:t>
      </w:r>
      <w:r>
        <w:rPr>
          <w:rFonts w:ascii="Bookman Old Style" w:hAnsi="Bookman Old Style" w:eastAsia="Times New Roman" w:cs="Tahoma"/>
          <w:color w:val="000000" w:themeColor="text1"/>
          <w:sz w:val="24"/>
          <w:szCs w:val="24"/>
          <w:lang w:val="id-ID"/>
          <w14:textFill>
            <w14:solidFill>
              <w14:schemeClr w14:val="tx1"/>
            </w14:solidFill>
          </w14:textFill>
        </w:rPr>
        <w:t xml:space="preserve">mewujudkan pemerataan pertumbuhan ekonomi dengan peningkatan sektor unggulan </w:t>
      </w:r>
      <w:r>
        <w:rPr>
          <w:rFonts w:ascii="Bookman Old Style" w:hAnsi="Bookman Old Style" w:eastAsia="Times New Roman" w:cs="Tahoma"/>
          <w:color w:val="000000" w:themeColor="text1"/>
          <w:sz w:val="24"/>
          <w:szCs w:val="24"/>
          <w14:textFill>
            <w14:solidFill>
              <w14:schemeClr w14:val="tx1"/>
            </w14:solidFill>
          </w14:textFill>
        </w:rPr>
        <w:t xml:space="preserve">Kabupaten </w:t>
      </w:r>
      <w:r>
        <w:rPr>
          <w:rFonts w:ascii="Bookman Old Style" w:hAnsi="Bookman Old Style" w:eastAsia="Times New Roman" w:cs="Tahoma"/>
          <w:color w:val="000000" w:themeColor="text1"/>
          <w:sz w:val="24"/>
          <w:szCs w:val="24"/>
          <w:lang w:val="id-ID"/>
          <w14:textFill>
            <w14:solidFill>
              <w14:schemeClr w14:val="tx1"/>
            </w14:solidFill>
          </w14:textFill>
        </w:rPr>
        <w:t xml:space="preserve">pada aspek perikanan, pariwisata dan pertanian </w:t>
      </w:r>
      <w:r>
        <w:rPr>
          <w:rFonts w:ascii="Bookman Old Style" w:hAnsi="Bookman Old Style" w:eastAsia="Times New Roman" w:cs="Tahoma"/>
          <w:color w:val="000000" w:themeColor="text1"/>
          <w:sz w:val="24"/>
          <w:szCs w:val="24"/>
          <w14:textFill>
            <w14:solidFill>
              <w14:schemeClr w14:val="tx1"/>
            </w14:solidFill>
          </w14:textFill>
        </w:rPr>
        <w:t xml:space="preserve">serta pertambangan </w:t>
      </w:r>
      <w:r>
        <w:rPr>
          <w:rFonts w:ascii="Bookman Old Style" w:hAnsi="Bookman Old Style" w:eastAsia="Times New Roman" w:cs="Tahoma"/>
          <w:color w:val="000000" w:themeColor="text1"/>
          <w:sz w:val="24"/>
          <w:szCs w:val="24"/>
          <w:lang w:val="id-ID"/>
          <w14:textFill>
            <w14:solidFill>
              <w14:schemeClr w14:val="tx1"/>
            </w14:solidFill>
          </w14:textFill>
        </w:rPr>
        <w:t>sebagai wilayah kepulauan yang berbasis bahari dan maritim</w:t>
      </w:r>
      <w:r>
        <w:rPr>
          <w:rFonts w:ascii="Bookman Old Style" w:hAnsi="Bookman Old Style" w:eastAsia="Times New Roman" w:cs="Tahoma"/>
          <w:color w:val="000000" w:themeColor="text1"/>
          <w:sz w:val="24"/>
          <w:szCs w:val="24"/>
          <w14:textFill>
            <w14:solidFill>
              <w14:schemeClr w14:val="tx1"/>
            </w14:solidFill>
          </w14:textFill>
        </w:rPr>
        <w:t xml:space="preserve"> serta untuk m</w:t>
      </w:r>
      <w:r>
        <w:rPr>
          <w:rFonts w:ascii="Bookman Old Style" w:hAnsi="Bookman Old Style" w:eastAsia="Times New Roman" w:cs="Tahoma"/>
          <w:color w:val="000000" w:themeColor="text1"/>
          <w:sz w:val="24"/>
          <w:szCs w:val="24"/>
          <w:lang w:val="id-ID"/>
          <w14:textFill>
            <w14:solidFill>
              <w14:schemeClr w14:val="tx1"/>
            </w14:solidFill>
          </w14:textFill>
        </w:rPr>
        <w:t>erwujud</w:t>
      </w:r>
      <w:r>
        <w:rPr>
          <w:rFonts w:ascii="Bookman Old Style" w:hAnsi="Bookman Old Style" w:eastAsia="Times New Roman" w:cs="Tahoma"/>
          <w:color w:val="000000" w:themeColor="text1"/>
          <w:sz w:val="24"/>
          <w:szCs w:val="24"/>
          <w14:textFill>
            <w14:solidFill>
              <w14:schemeClr w14:val="tx1"/>
            </w14:solidFill>
          </w14:textFill>
        </w:rPr>
        <w:t>k</w:t>
      </w:r>
      <w:r>
        <w:rPr>
          <w:rFonts w:ascii="Bookman Old Style" w:hAnsi="Bookman Old Style" w:eastAsia="Times New Roman" w:cs="Tahoma"/>
          <w:color w:val="000000" w:themeColor="text1"/>
          <w:sz w:val="24"/>
          <w:szCs w:val="24"/>
          <w:lang w:val="id-ID"/>
          <w14:textFill>
            <w14:solidFill>
              <w14:schemeClr w14:val="tx1"/>
            </w14:solidFill>
          </w14:textFill>
        </w:rPr>
        <w:t xml:space="preserve">an ruang wilayah </w:t>
      </w:r>
      <w:r>
        <w:rPr>
          <w:rFonts w:ascii="Bookman Old Style" w:hAnsi="Bookman Old Style" w:eastAsia="Times New Roman" w:cs="Tahoma"/>
          <w:color w:val="000000" w:themeColor="text1"/>
          <w:sz w:val="24"/>
          <w:szCs w:val="24"/>
          <w14:textFill>
            <w14:solidFill>
              <w14:schemeClr w14:val="tx1"/>
            </w14:solidFill>
          </w14:textFill>
        </w:rPr>
        <w:t>Kabupaten</w:t>
      </w:r>
      <w:r>
        <w:rPr>
          <w:rFonts w:ascii="Bookman Old Style" w:hAnsi="Bookman Old Style" w:eastAsia="Times New Roman" w:cs="Tahoma"/>
          <w:color w:val="000000" w:themeColor="text1"/>
          <w:sz w:val="24"/>
          <w:szCs w:val="24"/>
          <w:lang w:val="id-ID"/>
          <w14:textFill>
            <w14:solidFill>
              <w14:schemeClr w14:val="tx1"/>
            </w14:solidFill>
          </w14:textFill>
        </w:rPr>
        <w:t xml:space="preserve"> yang aman,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nyaman,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produktif,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dan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berkelanjutan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serta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perwujudan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keseimbangan dan keserasian perkembangan antarwilayah, yang diterjemahkan dalam kebijakan dan strategi pengembangan struktur ruang dan pola ruang wilayah </w:t>
      </w:r>
      <w:r>
        <w:rPr>
          <w:rFonts w:ascii="Bookman Old Style" w:hAnsi="Bookman Old Style" w:eastAsia="Times New Roman" w:cs="Tahoma"/>
          <w:color w:val="000000" w:themeColor="text1"/>
          <w:sz w:val="24"/>
          <w:szCs w:val="24"/>
          <w14:textFill>
            <w14:solidFill>
              <w14:schemeClr w14:val="tx1"/>
            </w14:solidFill>
          </w14:textFill>
        </w:rPr>
        <w:t>Kabupaten, yang bermuara pada proses peningkatan kesejahteraan rakyat, khususnya rakyat Kepulauan Selayar secara berkelanjutan.</w:t>
      </w:r>
    </w:p>
    <w:p>
      <w:pPr>
        <w:spacing w:after="0" w:line="360" w:lineRule="auto"/>
        <w:ind w:left="720" w:firstLine="1265"/>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Tujuan khusus penataan ruang wilayah kabupaten adalah :</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mengembangkan fungsi Kepulauan Selayar sebagai simpul transportasi, perdagangan dan konvensi; </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mengarahkan peran Kepulauan Selayar sebagai lahan pangan berkelanjutan dengan mengarahkan pengembangan agrobisnis dan agroindustri khususnya komoditi-komoditi unggulan Kepulauan Selayar, yang sekaligus sebagai penggerak ekonomi rakyat;</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mengarahkan pengembangan kawasan serta prasarana wisata budaya, wisata alam, wisata bahari, wisata agro, maupun wisata belanja;  </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memulihkan daya dukung lingkungan, terutama DAS kritis sebagai dukungan proaktif terhadap fenomena perubahan iklim dunia, dengan menciptakan keseimbangan pemanfaatan ruang antara kawasan lindung dengan kawasan budidaya dalam satu ekosistem darat, laut, dan udara, serta terpadu antara wilayah;</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meningkatkan sinergitas, efektifitas dan efisiensi penataan ruang lintas sektor dan lintas wilayah yang konsisten dengan kebijakan Nasional dan Provinsi, termasuk pengembangan prasarana wilayah sesuai daya dukung wilayahnya;</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Secara khusus mengarahkan penataan ruang wilayah pesisir dan pulau-pulau menjadi lebih produktif, lebih terpenuhi pelayanan sosial, ekonomi dan budaya, serta lebih terlayani sistem transportasi, informasi dan komunikasi agar terbangun ekonomi wilayah kelautan secara terpadu dan berkelanjutan;  </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menjadi dasar bagi penyusunan rencana yang bersifat lebih operasional dalam pembangunan dan pemanfaatan ruang di wilayah Kabupaten Kepulauan Selayar seperti penyusunan RTRW Kabupaten/Kota, perencanaan kawasan strategis Kabupaten, penyusunan RPJMD Kabupaten;</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menciptakan kepastian hukum dalam pemanfaatan ruang yang akan merangsang partisipasi masyarakat;</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penetapan lokasi dan fungsi ruang untuk investasi; dan</w:t>
      </w:r>
    </w:p>
    <w:p>
      <w:pPr>
        <w:numPr>
          <w:ilvl w:val="0"/>
          <w:numId w:val="85"/>
        </w:numPr>
        <w:spacing w:after="200" w:line="360" w:lineRule="auto"/>
        <w:ind w:left="1276"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menjadi pedoman bagi aparat terkait dalam hal pengendalian pemanfaatan ruang, baik melalui pengawasan, perizinan dan penertiban.</w:t>
      </w:r>
    </w:p>
    <w:p>
      <w:pPr>
        <w:spacing w:after="0" w:line="360" w:lineRule="auto"/>
        <w:ind w:left="1276" w:firstLine="72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Kebijakan pengembangan struktur ruang meliputi:</w:t>
      </w:r>
    </w:p>
    <w:p>
      <w:pPr>
        <w:numPr>
          <w:ilvl w:val="0"/>
          <w:numId w:val="36"/>
        </w:numPr>
        <w:spacing w:after="200" w:line="360" w:lineRule="auto"/>
        <w:ind w:left="1276"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keterpaduan sistem perkotaan dan perdesaan;</w:t>
      </w:r>
    </w:p>
    <w:p>
      <w:pPr>
        <w:spacing w:after="0" w:line="360" w:lineRule="auto"/>
        <w:ind w:left="1276"/>
        <w:contextualSpacing w:val="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keterpaduan sistem perkotaan dan perdesaan sebagaimana dimaksud meliputi:</w:t>
      </w:r>
    </w:p>
    <w:p>
      <w:pPr>
        <w:numPr>
          <w:ilvl w:val="0"/>
          <w:numId w:val="86"/>
        </w:numPr>
        <w:tabs>
          <w:tab w:val="left" w:pos="1440"/>
        </w:tabs>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mengembangkan perkotaan utama sebagai pusat pelayanan di daerah yaitu di  Benteng dan Pamatata;</w:t>
      </w:r>
    </w:p>
    <w:p>
      <w:pPr>
        <w:numPr>
          <w:ilvl w:val="0"/>
          <w:numId w:val="86"/>
        </w:numPr>
        <w:tabs>
          <w:tab w:val="left" w:pos="1440"/>
        </w:tabs>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mendorong dan mempersiapkan pengembangan kawasan perkotaan Kayuadi dan Bonerate sebagai PKLp yang pada saatnya dapat disetarakan dengan PKL;</w:t>
      </w:r>
    </w:p>
    <w:p>
      <w:pPr>
        <w:numPr>
          <w:ilvl w:val="0"/>
          <w:numId w:val="86"/>
        </w:numPr>
        <w:tabs>
          <w:tab w:val="left" w:pos="1440"/>
        </w:tabs>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menjalin kerja sama dengan perkotaan di kabupaten lainnya yang berbatasan untuk menunjang dan mempercepat perkembangan sistem perkotaan di wilayah Kabupaten;  </w:t>
      </w:r>
    </w:p>
    <w:p>
      <w:pPr>
        <w:numPr>
          <w:ilvl w:val="0"/>
          <w:numId w:val="86"/>
        </w:numPr>
        <w:tabs>
          <w:tab w:val="left" w:pos="1440"/>
        </w:tabs>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mendorong pengembangan Perkotaan Benteng, Pamatata, Kayuadi dan Bonerate sebagai PKL dan PKLp dalam sistem perkotaan secara Nasional; </w:t>
      </w:r>
    </w:p>
    <w:p>
      <w:pPr>
        <w:numPr>
          <w:ilvl w:val="0"/>
          <w:numId w:val="86"/>
        </w:numPr>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kawasan perdesaan sesuai potensi kawasan yang dihubungkan dengan pusat kegiatan pada setiap kawasan perdesaan;</w:t>
      </w:r>
    </w:p>
    <w:p>
      <w:pPr>
        <w:numPr>
          <w:ilvl w:val="0"/>
          <w:numId w:val="86"/>
        </w:numPr>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kawasan agropolitan dan minapolitan untuk mendorong pertumbuhan kawasan perdesaan di wilayah Kabupaten; dan</w:t>
      </w:r>
    </w:p>
    <w:p>
      <w:pPr>
        <w:numPr>
          <w:ilvl w:val="0"/>
          <w:numId w:val="86"/>
        </w:numPr>
        <w:autoSpaceDE w:val="0"/>
        <w:autoSpaceDN w:val="0"/>
        <w:adjustRightInd w:val="0"/>
        <w:spacing w:after="0" w:line="360" w:lineRule="auto"/>
        <w:ind w:left="1701" w:hanging="360"/>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pusat desa mulai dari tingkat dusun sampai pusat desa secara berhierarki.</w:t>
      </w:r>
    </w:p>
    <w:p>
      <w:pPr>
        <w:numPr>
          <w:ilvl w:val="0"/>
          <w:numId w:val="71"/>
        </w:numPr>
        <w:spacing w:after="200" w:line="360" w:lineRule="auto"/>
        <w:ind w:left="1276"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aksesibilitas jaringan transportasi kepulauan;</w:t>
      </w:r>
    </w:p>
    <w:p>
      <w:pPr>
        <w:spacing w:after="0" w:line="360" w:lineRule="auto"/>
        <w:ind w:left="127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aksesibilitas jaringan transportasi kepulauan sebagaimana dimaksud meliputi:</w:t>
      </w:r>
    </w:p>
    <w:p>
      <w:pPr>
        <w:numPr>
          <w:ilvl w:val="0"/>
          <w:numId w:val="87"/>
        </w:numPr>
        <w:spacing w:after="200" w:line="360" w:lineRule="auto"/>
        <w:ind w:left="1701"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jaringan jalan secara hierarkis yang menghubungkan antar pusat-pusat kegiatan pelayanan perkotaan dan antara pusat-pusat kegiatan dengan masing-masing wilayah pelayanan;</w:t>
      </w:r>
    </w:p>
    <w:p>
      <w:pPr>
        <w:numPr>
          <w:ilvl w:val="0"/>
          <w:numId w:val="87"/>
        </w:numPr>
        <w:spacing w:after="200" w:line="360" w:lineRule="auto"/>
        <w:ind w:left="1701"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integrasi sistem inter moda dan perpindahan antar moda di seluruh wilayah kepulauan;</w:t>
      </w:r>
    </w:p>
    <w:p>
      <w:pPr>
        <w:numPr>
          <w:ilvl w:val="0"/>
          <w:numId w:val="87"/>
        </w:numPr>
        <w:spacing w:after="200" w:line="360" w:lineRule="auto"/>
        <w:ind w:left="1701"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rute-rute pelayanan moda transportasi publik menjangkau seluruh wilayah kepulauan sesuai dengan intensitas aktivitas; dan</w:t>
      </w:r>
    </w:p>
    <w:p>
      <w:pPr>
        <w:numPr>
          <w:ilvl w:val="0"/>
          <w:numId w:val="87"/>
        </w:numPr>
        <w:spacing w:after="200" w:line="360" w:lineRule="auto"/>
        <w:ind w:left="1701"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dan meningkatkan kualitas layanan terminal umum, bandara, pelabuhan dan penyeberangan sebagai simpul transportasi.</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Pembangunan prasarana dan sarana wilayah yang berkualitas untuk pemenuhan hak dasar dan  dalam  rangka  pe</w:t>
      </w:r>
      <w:r>
        <w:rPr>
          <w:rFonts w:ascii="Bookman Old Style" w:hAnsi="Bookman Old Style" w:eastAsia="Times New Roman" w:cs="Tahoma"/>
          <w:color w:val="000000" w:themeColor="text1"/>
          <w:sz w:val="24"/>
          <w:szCs w:val="24"/>
          <w:lang w:val="id-ID"/>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 xml:space="preserve">wujudan  tujuan  penataan  ruang  yang  berimbang  dan  berbasis konservasi serta mitigasi bencana. </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pembangunan prasarana dan sarana wilayah yang berkualitas untuk pemenuhan hak dasar dan  dalam  rangka  pe</w:t>
      </w:r>
      <w:r>
        <w:rPr>
          <w:rFonts w:ascii="Bookman Old Style" w:hAnsi="Bookman Old Style" w:eastAsia="Times New Roman" w:cs="Tahoma"/>
          <w:color w:val="000000" w:themeColor="text1"/>
          <w:sz w:val="24"/>
          <w:szCs w:val="24"/>
          <w:lang w:val="id-ID"/>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wujudan  tujuan  penataan  ruang  yang  berimbang  dan  berbasis konservasi serta mitigasi bencana sebagaimana dimaksud  di atas, meliputi:</w:t>
      </w:r>
    </w:p>
    <w:p>
      <w:pPr>
        <w:numPr>
          <w:ilvl w:val="0"/>
          <w:numId w:val="88"/>
        </w:numPr>
        <w:spacing w:after="200" w:line="360" w:lineRule="auto"/>
        <w:ind w:left="156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membangun prasarana  dan  sarana  transportasi  yang  mampu  mendorong pertumbuhan ekonomi kawasan secara signifikan dan berimbang;</w:t>
      </w:r>
    </w:p>
    <w:p>
      <w:pPr>
        <w:numPr>
          <w:ilvl w:val="0"/>
          <w:numId w:val="88"/>
        </w:numPr>
        <w:spacing w:after="200" w:line="360" w:lineRule="auto"/>
        <w:ind w:left="156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 xml:space="preserve">membangun utilitas dan fasilitas sosial secara proporsional dan memadai sesuai kebutuhan masyarakat pada setiap pusat permukiman; dan </w:t>
      </w:r>
    </w:p>
    <w:p>
      <w:pPr>
        <w:numPr>
          <w:ilvl w:val="0"/>
          <w:numId w:val="88"/>
        </w:numPr>
        <w:spacing w:after="200" w:line="360" w:lineRule="auto"/>
        <w:ind w:left="156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menyusun</w:t>
      </w:r>
      <w:r>
        <w:rPr>
          <w:rFonts w:ascii="Bookman Old Style" w:hAnsi="Bookman Old Style" w:eastAsia="Times New Roman" w:cs="Tahoma"/>
          <w:color w:val="000000" w:themeColor="text1"/>
          <w:sz w:val="24"/>
          <w:szCs w:val="24"/>
          <w:lang w:val="zh-CN"/>
          <w14:textFill>
            <w14:solidFill>
              <w14:schemeClr w14:val="tx1"/>
            </w14:solidFill>
          </w14:textFill>
        </w:rPr>
        <w:tab/>
      </w:r>
      <w:r>
        <w:rPr>
          <w:rFonts w:ascii="Bookman Old Style" w:hAnsi="Bookman Old Style" w:eastAsia="Times New Roman" w:cs="Tahoma"/>
          <w:color w:val="000000" w:themeColor="text1"/>
          <w:sz w:val="24"/>
          <w:szCs w:val="24"/>
          <w:lang w:val="zh-CN"/>
          <w14:textFill>
            <w14:solidFill>
              <w14:schemeClr w14:val="tx1"/>
            </w14:solidFill>
          </w14:textFill>
        </w:rPr>
        <w:t xml:space="preserve">program dan membangun berbagai perangkat keras dan lunak untuk mitigasi berbagai bencana alam, seperti tsunami, gempa, longsor, banjir, kebakaran hutan dan ancaman lainnya. </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Pemantapan fungsi kawasan lindung.</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pemantapan fungsi kawasan lindung sebagaimana dimaksud  di atas, meliputi:</w:t>
      </w:r>
    </w:p>
    <w:p>
      <w:pPr>
        <w:numPr>
          <w:ilvl w:val="0"/>
          <w:numId w:val="89"/>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menetapkan tata batas kawasan lindung dan budidaya untuk memberikan kepastian rencana pemanfaatan ruang dan investasi</w:t>
      </w:r>
      <w:r>
        <w:rPr>
          <w:rFonts w:ascii="Bookman Old Style" w:hAnsi="Bookman Old Style" w:eastAsia="Times New Roman" w:cs="Tahoma"/>
          <w:color w:val="000000" w:themeColor="text1"/>
          <w:sz w:val="24"/>
          <w:szCs w:val="24"/>
          <w:lang w:val="id-ID"/>
          <w14:textFill>
            <w14:solidFill>
              <w14:schemeClr w14:val="tx1"/>
            </w14:solidFill>
          </w14:textFill>
        </w:rPr>
        <w:t xml:space="preserve"> yang menjadi kewenangan daerah</w:t>
      </w:r>
      <w:r>
        <w:rPr>
          <w:rFonts w:ascii="Bookman Old Style" w:hAnsi="Bookman Old Style" w:eastAsia="Times New Roman" w:cs="Tahoma"/>
          <w:color w:val="000000" w:themeColor="text1"/>
          <w:sz w:val="24"/>
          <w:szCs w:val="24"/>
          <w14:textFill>
            <w14:solidFill>
              <w14:schemeClr w14:val="tx1"/>
            </w14:solidFill>
          </w14:textFill>
        </w:rPr>
        <w:t>;</w:t>
      </w:r>
    </w:p>
    <w:p>
      <w:pPr>
        <w:numPr>
          <w:ilvl w:val="0"/>
          <w:numId w:val="8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menyusun dan melaksanakan program rehabilitasi lingkungan, terutama pemulihan </w:t>
      </w:r>
      <w:r>
        <w:rPr>
          <w:rFonts w:ascii="Bookman Old Style" w:hAnsi="Bookman Old Style" w:eastAsia="Times New Roman" w:cs="Tahoma"/>
          <w:color w:val="000000" w:themeColor="text1"/>
          <w:sz w:val="24"/>
          <w:szCs w:val="24"/>
          <w:lang w:val="id-ID"/>
          <w14:textFill>
            <w14:solidFill>
              <w14:schemeClr w14:val="tx1"/>
            </w14:solidFill>
          </w14:textFill>
        </w:rPr>
        <w:t>lingkungan yang berfungsi lindung;</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numPr>
          <w:ilvl w:val="0"/>
          <w:numId w:val="8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pengelolaan  lingkungan  hidup  dan  pengendalian  kerusakan  dan pencemaran lingkungan;</w:t>
      </w:r>
    </w:p>
    <w:p>
      <w:pPr>
        <w:numPr>
          <w:ilvl w:val="0"/>
          <w:numId w:val="8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kapasitas masyarakat dalam pengelolaan sumber  keanekaragaman hayati; dan</w:t>
      </w:r>
    </w:p>
    <w:p>
      <w:pPr>
        <w:numPr>
          <w:ilvl w:val="0"/>
          <w:numId w:val="89"/>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memfasilitasi</w:t>
      </w:r>
      <w:r>
        <w:rPr>
          <w:rFonts w:ascii="Bookman Old Style" w:hAnsi="Bookman Old Style" w:eastAsia="Times New Roman" w:cs="Tahoma"/>
          <w:color w:val="000000" w:themeColor="text1"/>
          <w:sz w:val="24"/>
          <w:szCs w:val="24"/>
          <w14:textFill>
            <w14:solidFill>
              <w14:schemeClr w14:val="tx1"/>
            </w14:solidFill>
          </w14:textFill>
        </w:rPr>
        <w:t xml:space="preserve"> kerja sama regional, nasional dan internasional dalam rangka pemulihan fungsi kawasan </w:t>
      </w:r>
      <w:r>
        <w:rPr>
          <w:rFonts w:ascii="Bookman Old Style" w:hAnsi="Bookman Old Style" w:eastAsia="Times New Roman" w:cs="Tahoma"/>
          <w:color w:val="000000" w:themeColor="text1"/>
          <w:sz w:val="24"/>
          <w:szCs w:val="24"/>
          <w:lang w:val="id-ID"/>
          <w14:textFill>
            <w14:solidFill>
              <w14:schemeClr w14:val="tx1"/>
            </w14:solidFill>
          </w14:textFill>
        </w:rPr>
        <w:t>yang berfungsi lindung</w:t>
      </w:r>
      <w:r>
        <w:rPr>
          <w:rFonts w:ascii="Bookman Old Style" w:hAnsi="Bookman Old Style" w:eastAsia="Times New Roman" w:cs="Tahoma"/>
          <w:color w:val="000000" w:themeColor="text1"/>
          <w:sz w:val="24"/>
          <w:szCs w:val="24"/>
          <w14:textFill>
            <w14:solidFill>
              <w14:schemeClr w14:val="tx1"/>
            </w14:solidFill>
          </w14:textFill>
        </w:rPr>
        <w:t>.</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Pemanfaatan potensi sumber daya alam yang ramah lingkungan guna mendorong pengembangan ekonomi wilayah. Strategi pemanfaatan potensi sumber daya alam yang ramah lingkungan guna mendorong pengembangan ekonomi wilayah sebagaimana dimaksud  di atas, meliputi:</w:t>
      </w:r>
    </w:p>
    <w:p>
      <w:pPr>
        <w:numPr>
          <w:ilvl w:val="2"/>
          <w:numId w:val="90"/>
        </w:numPr>
        <w:spacing w:after="0" w:line="360" w:lineRule="auto"/>
        <w:ind w:left="1440" w:hanging="30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w:t>
      </w:r>
      <w:r>
        <w:rPr>
          <w:rFonts w:ascii="Bookman Old Style" w:hAnsi="Bookman Old Style" w:eastAsia="Times New Roman" w:cs="Tahoma"/>
          <w:color w:val="000000" w:themeColor="text1"/>
          <w:sz w:val="24"/>
          <w:szCs w:val="24"/>
          <w:lang w:val="id-ID"/>
          <w14:textFill>
            <w14:solidFill>
              <w14:schemeClr w14:val="tx1"/>
            </w14:solidFill>
          </w14:textFill>
        </w:rPr>
        <w:t xml:space="preserve">sumber </w:t>
      </w:r>
      <w:r>
        <w:rPr>
          <w:rFonts w:ascii="Bookman Old Style" w:hAnsi="Bookman Old Style" w:eastAsia="Times New Roman" w:cs="Tahoma"/>
          <w:color w:val="000000" w:themeColor="text1"/>
          <w:sz w:val="24"/>
          <w:szCs w:val="24"/>
          <w14:textFill>
            <w14:solidFill>
              <w14:schemeClr w14:val="tx1"/>
            </w14:solidFill>
          </w14:textFill>
        </w:rPr>
        <w:t>energi terbarukan sebagai sumber listrik;</w:t>
      </w:r>
    </w:p>
    <w:p>
      <w:pPr>
        <w:numPr>
          <w:ilvl w:val="2"/>
          <w:numId w:val="90"/>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kegiatan konservasi yang bernilai lingkungan dan sekaligus juga bernilai sosial ekonomi; dan</w:t>
      </w:r>
    </w:p>
    <w:p>
      <w:pPr>
        <w:numPr>
          <w:ilvl w:val="2"/>
          <w:numId w:val="90"/>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w:t>
      </w:r>
      <w:r>
        <w:rPr>
          <w:rFonts w:ascii="Bookman Old Style" w:hAnsi="Bookman Old Style" w:eastAsia="Times New Roman" w:cs="Tahoma"/>
          <w:color w:val="000000" w:themeColor="text1"/>
          <w:spacing w:val="60"/>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k</w:t>
      </w:r>
      <w:r>
        <w:rPr>
          <w:rFonts w:ascii="Bookman Old Style" w:hAnsi="Bookman Old Style" w:eastAsia="Times New Roman" w:cs="Tahoma"/>
          <w:color w:val="000000" w:themeColor="text1"/>
          <w:spacing w:val="1"/>
          <w:sz w:val="24"/>
          <w:szCs w:val="24"/>
          <w14:textFill>
            <w14:solidFill>
              <w14:schemeClr w14:val="tx1"/>
            </w14:solidFill>
          </w14:textFill>
        </w:rPr>
        <w:t>a</w:t>
      </w:r>
      <w:r>
        <w:rPr>
          <w:rFonts w:ascii="Bookman Old Style" w:hAnsi="Bookman Old Style" w:eastAsia="Times New Roman" w:cs="Tahoma"/>
          <w:color w:val="000000" w:themeColor="text1"/>
          <w:sz w:val="24"/>
          <w:szCs w:val="24"/>
          <w14:textFill>
            <w14:solidFill>
              <w14:schemeClr w14:val="tx1"/>
            </w14:solidFill>
          </w14:textFill>
        </w:rPr>
        <w:t>pa</w:t>
      </w:r>
      <w:r>
        <w:rPr>
          <w:rFonts w:ascii="Bookman Old Style" w:hAnsi="Bookman Old Style" w:eastAsia="Times New Roman" w:cs="Tahoma"/>
          <w:color w:val="000000" w:themeColor="text1"/>
          <w:spacing w:val="1"/>
          <w:sz w:val="24"/>
          <w:szCs w:val="24"/>
          <w14:textFill>
            <w14:solidFill>
              <w14:schemeClr w14:val="tx1"/>
            </w14:solidFill>
          </w14:textFill>
        </w:rPr>
        <w:t>s</w:t>
      </w:r>
      <w:r>
        <w:rPr>
          <w:rFonts w:ascii="Bookman Old Style" w:hAnsi="Bookman Old Style" w:eastAsia="Times New Roman" w:cs="Tahoma"/>
          <w:color w:val="000000" w:themeColor="text1"/>
          <w:sz w:val="24"/>
          <w:szCs w:val="24"/>
          <w14:textFill>
            <w14:solidFill>
              <w14:schemeClr w14:val="tx1"/>
            </w14:solidFill>
          </w14:textFill>
        </w:rPr>
        <w:t xml:space="preserve">itas  </w:t>
      </w:r>
      <w:r>
        <w:rPr>
          <w:rFonts w:ascii="Bookman Old Style" w:hAnsi="Bookman Old Style" w:eastAsia="Times New Roman" w:cs="Tahoma"/>
          <w:color w:val="000000" w:themeColor="text1"/>
          <w:spacing w:val="4"/>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masyara</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at  </w:t>
      </w:r>
      <w:r>
        <w:rPr>
          <w:rFonts w:ascii="Bookman Old Style" w:hAnsi="Bookman Old Style" w:eastAsia="Times New Roman" w:cs="Tahoma"/>
          <w:color w:val="000000" w:themeColor="text1"/>
          <w:spacing w:val="2"/>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da</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 xml:space="preserve">am  </w:t>
      </w:r>
      <w:r>
        <w:rPr>
          <w:rFonts w:ascii="Bookman Old Style" w:hAnsi="Bookman Old Style" w:eastAsia="Times New Roman" w:cs="Tahoma"/>
          <w:color w:val="000000" w:themeColor="text1"/>
          <w:spacing w:val="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pemanfaatan   s</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 xml:space="preserve">mber  </w:t>
      </w:r>
      <w:r>
        <w:rPr>
          <w:rFonts w:ascii="Bookman Old Style" w:hAnsi="Bookman Old Style" w:eastAsia="Times New Roman" w:cs="Tahoma"/>
          <w:color w:val="000000" w:themeColor="text1"/>
          <w:spacing w:val="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en</w:t>
      </w:r>
      <w:r>
        <w:rPr>
          <w:rFonts w:ascii="Bookman Old Style" w:hAnsi="Bookman Old Style" w:eastAsia="Times New Roman" w:cs="Tahoma"/>
          <w:color w:val="000000" w:themeColor="text1"/>
          <w:spacing w:val="1"/>
          <w:sz w:val="24"/>
          <w:szCs w:val="24"/>
          <w14:textFill>
            <w14:solidFill>
              <w14:schemeClr w14:val="tx1"/>
            </w14:solidFill>
          </w14:textFill>
        </w:rPr>
        <w:t>e</w:t>
      </w:r>
      <w:r>
        <w:rPr>
          <w:rFonts w:ascii="Bookman Old Style" w:hAnsi="Bookman Old Style" w:eastAsia="Times New Roman" w:cs="Tahoma"/>
          <w:color w:val="000000" w:themeColor="text1"/>
          <w:sz w:val="24"/>
          <w:szCs w:val="24"/>
          <w14:textFill>
            <w14:solidFill>
              <w14:schemeClr w14:val="tx1"/>
            </w14:solidFill>
          </w14:textFill>
        </w:rPr>
        <w:t>rgi  yang terbaru</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an</w:t>
      </w:r>
      <w:r>
        <w:rPr>
          <w:rFonts w:ascii="Bookman Old Style" w:hAnsi="Bookman Old Style" w:eastAsia="Times New Roman" w:cs="Tahoma"/>
          <w:color w:val="000000" w:themeColor="text1"/>
          <w:spacing w:val="-11"/>
          <w:sz w:val="24"/>
          <w:szCs w:val="24"/>
          <w:lang w:val="id-ID"/>
          <w14:textFill>
            <w14:solidFill>
              <w14:schemeClr w14:val="tx1"/>
            </w14:solidFill>
          </w14:textFill>
        </w:rPr>
        <w:t>.</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Peningkatan produktivitas wilayah melalui intensifikasi lahan dan  modernisasi pertanian dengan pengelolaan yang ramah lingkungan.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peningkatan produktivitas wilayah melalui intensifikasi lahan dan  modernisasi pertanian dengan pengelolaan yang ramah lingkungan sebagaimana dimaksud  di atas, meliputi:</w:t>
      </w:r>
    </w:p>
    <w:p>
      <w:pPr>
        <w:numPr>
          <w:ilvl w:val="0"/>
          <w:numId w:val="91"/>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produktivitas  hasil  perkebunan,  pertanian  dan  kehutanan  melalui intensifikasi lahan;</w:t>
      </w:r>
    </w:p>
    <w:p>
      <w:pPr>
        <w:numPr>
          <w:ilvl w:val="0"/>
          <w:numId w:val="9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memanfaatkan lahan non produktif secara lebih bermakna bagi peningkatan kualitas lingkungan dan peningkatan pendapatan masyarakat;</w:t>
      </w:r>
    </w:p>
    <w:p>
      <w:pPr>
        <w:numPr>
          <w:ilvl w:val="0"/>
          <w:numId w:val="9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teknologi pertanian, termasuk perkebunan, perikanan, peternakan dan kehutanan sehingga terjadi peningkatan produksi dengan kualitas yang lebih baik dan bernilai ekonomi tinggi; dan</w:t>
      </w:r>
    </w:p>
    <w:p>
      <w:pPr>
        <w:numPr>
          <w:ilvl w:val="0"/>
          <w:numId w:val="91"/>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pemasaran hasil pertanian, perkebunan, perikanan, peternakan dan kehutanan</w:t>
      </w:r>
      <w:r>
        <w:rPr>
          <w:rFonts w:ascii="Bookman Old Style" w:hAnsi="Bookman Old Style" w:eastAsia="Times New Roman" w:cs="Tahoma"/>
          <w:color w:val="000000" w:themeColor="text1"/>
          <w:spacing w:val="7"/>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mela</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ui</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pe</w:t>
      </w:r>
      <w:r>
        <w:rPr>
          <w:rFonts w:ascii="Bookman Old Style" w:hAnsi="Bookman Old Style" w:eastAsia="Times New Roman" w:cs="Tahoma"/>
          <w:color w:val="000000" w:themeColor="text1"/>
          <w:spacing w:val="1"/>
          <w:sz w:val="24"/>
          <w:szCs w:val="24"/>
          <w14:textFill>
            <w14:solidFill>
              <w14:schemeClr w14:val="tx1"/>
            </w14:solidFill>
          </w14:textFill>
        </w:rPr>
        <w:t>n</w:t>
      </w:r>
      <w:r>
        <w:rPr>
          <w:rFonts w:ascii="Bookman Old Style" w:hAnsi="Bookman Old Style" w:eastAsia="Times New Roman" w:cs="Tahoma"/>
          <w:color w:val="000000" w:themeColor="text1"/>
          <w:sz w:val="24"/>
          <w:szCs w:val="24"/>
          <w14:textFill>
            <w14:solidFill>
              <w14:schemeClr w14:val="tx1"/>
            </w14:solidFill>
          </w14:textFill>
        </w:rPr>
        <w:t>ing</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w:t>
      </w:r>
      <w:r>
        <w:rPr>
          <w:rFonts w:ascii="Bookman Old Style" w:hAnsi="Bookman Old Style" w:eastAsia="Times New Roman" w:cs="Tahoma"/>
          <w:color w:val="000000" w:themeColor="text1"/>
          <w:spacing w:val="-1"/>
          <w:sz w:val="24"/>
          <w:szCs w:val="24"/>
          <w14:textFill>
            <w14:solidFill>
              <w14:schemeClr w14:val="tx1"/>
            </w14:solidFill>
          </w14:textFill>
        </w:rPr>
        <w:t>t</w:t>
      </w:r>
      <w:r>
        <w:rPr>
          <w:rFonts w:ascii="Bookman Old Style" w:hAnsi="Bookman Old Style" w:eastAsia="Times New Roman" w:cs="Tahoma"/>
          <w:color w:val="000000" w:themeColor="text1"/>
          <w:sz w:val="24"/>
          <w:szCs w:val="24"/>
          <w14:textFill>
            <w14:solidFill>
              <w14:schemeClr w14:val="tx1"/>
            </w14:solidFill>
          </w14:textFill>
        </w:rPr>
        <w:t>an</w:t>
      </w:r>
      <w:r>
        <w:rPr>
          <w:rFonts w:ascii="Bookman Old Style" w:hAnsi="Bookman Old Style" w:eastAsia="Times New Roman" w:cs="Tahoma"/>
          <w:color w:val="000000" w:themeColor="text1"/>
          <w:spacing w:val="4"/>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mber</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pacing w:val="6"/>
          <w:sz w:val="24"/>
          <w:szCs w:val="24"/>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aya</w:t>
      </w:r>
      <w:r>
        <w:rPr>
          <w:rFonts w:ascii="Bookman Old Style" w:hAnsi="Bookman Old Style" w:eastAsia="Times New Roman" w:cs="Tahoma"/>
          <w:color w:val="000000" w:themeColor="text1"/>
          <w:spacing w:val="10"/>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man</w:t>
      </w:r>
      <w:r>
        <w:rPr>
          <w:rFonts w:ascii="Bookman Old Style" w:hAnsi="Bookman Old Style" w:eastAsia="Times New Roman" w:cs="Tahoma"/>
          <w:color w:val="000000" w:themeColor="text1"/>
          <w:spacing w:val="1"/>
          <w:sz w:val="24"/>
          <w:szCs w:val="24"/>
          <w14:textFill>
            <w14:solidFill>
              <w14:schemeClr w14:val="tx1"/>
            </w14:solidFill>
          </w14:textFill>
        </w:rPr>
        <w:t>u</w:t>
      </w:r>
      <w:r>
        <w:rPr>
          <w:rFonts w:ascii="Bookman Old Style" w:hAnsi="Bookman Old Style" w:eastAsia="Times New Roman" w:cs="Tahoma"/>
          <w:color w:val="000000" w:themeColor="text1"/>
          <w:sz w:val="24"/>
          <w:szCs w:val="24"/>
          <w14:textFill>
            <w14:solidFill>
              <w14:schemeClr w14:val="tx1"/>
            </w14:solidFill>
          </w14:textFill>
        </w:rPr>
        <w:t>s</w:t>
      </w:r>
      <w:r>
        <w:rPr>
          <w:rFonts w:ascii="Bookman Old Style" w:hAnsi="Bookman Old Style" w:eastAsia="Times New Roman" w:cs="Tahoma"/>
          <w:color w:val="000000" w:themeColor="text1"/>
          <w:spacing w:val="1"/>
          <w:sz w:val="24"/>
          <w:szCs w:val="24"/>
          <w14:textFill>
            <w14:solidFill>
              <w14:schemeClr w14:val="tx1"/>
            </w14:solidFill>
          </w14:textFill>
        </w:rPr>
        <w:t>i</w:t>
      </w:r>
      <w:r>
        <w:rPr>
          <w:rFonts w:ascii="Bookman Old Style" w:hAnsi="Bookman Old Style" w:eastAsia="Times New Roman" w:cs="Tahoma"/>
          <w:color w:val="000000" w:themeColor="text1"/>
          <w:sz w:val="24"/>
          <w:szCs w:val="24"/>
          <w14:textFill>
            <w14:solidFill>
              <w14:schemeClr w14:val="tx1"/>
            </w14:solidFill>
          </w14:textFill>
        </w:rPr>
        <w:t>a dan</w:t>
      </w:r>
      <w:r>
        <w:rPr>
          <w:rFonts w:ascii="Bookman Old Style" w:hAnsi="Bookman Old Style" w:eastAsia="Times New Roman" w:cs="Tahoma"/>
          <w:color w:val="000000" w:themeColor="text1"/>
          <w:spacing w:val="-3"/>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kelembagaan</w:t>
      </w:r>
      <w:r>
        <w:rPr>
          <w:rFonts w:ascii="Bookman Old Style" w:hAnsi="Bookman Old Style" w:eastAsia="Times New Roman" w:cs="Tahoma"/>
          <w:color w:val="000000" w:themeColor="text1"/>
          <w:spacing w:val="-12"/>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serta</w:t>
      </w:r>
      <w:r>
        <w:rPr>
          <w:rFonts w:ascii="Bookman Old Style" w:hAnsi="Bookman Old Style" w:eastAsia="Times New Roman" w:cs="Tahoma"/>
          <w:color w:val="000000" w:themeColor="text1"/>
          <w:spacing w:val="56"/>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fa</w:t>
      </w:r>
      <w:r>
        <w:rPr>
          <w:rFonts w:ascii="Bookman Old Style" w:hAnsi="Bookman Old Style" w:eastAsia="Times New Roman" w:cs="Tahoma"/>
          <w:color w:val="000000" w:themeColor="text1"/>
          <w:spacing w:val="1"/>
          <w:sz w:val="24"/>
          <w:szCs w:val="24"/>
          <w14:textFill>
            <w14:solidFill>
              <w14:schemeClr w14:val="tx1"/>
            </w14:solidFill>
          </w14:textFill>
        </w:rPr>
        <w:t>s</w:t>
      </w:r>
      <w:r>
        <w:rPr>
          <w:rFonts w:ascii="Bookman Old Style" w:hAnsi="Bookman Old Style" w:eastAsia="Times New Roman" w:cs="Tahoma"/>
          <w:color w:val="000000" w:themeColor="text1"/>
          <w:sz w:val="24"/>
          <w:szCs w:val="24"/>
          <w14:textFill>
            <w14:solidFill>
              <w14:schemeClr w14:val="tx1"/>
            </w14:solidFill>
          </w14:textFill>
        </w:rPr>
        <w:t>i</w:t>
      </w:r>
      <w:r>
        <w:rPr>
          <w:rFonts w:ascii="Bookman Old Style" w:hAnsi="Bookman Old Style" w:eastAsia="Times New Roman" w:cs="Tahoma"/>
          <w:color w:val="000000" w:themeColor="text1"/>
          <w:spacing w:val="1"/>
          <w:sz w:val="24"/>
          <w:szCs w:val="24"/>
          <w14:textFill>
            <w14:solidFill>
              <w14:schemeClr w14:val="tx1"/>
            </w14:solidFill>
          </w14:textFill>
        </w:rPr>
        <w:t>l</w:t>
      </w:r>
      <w:r>
        <w:rPr>
          <w:rFonts w:ascii="Bookman Old Style" w:hAnsi="Bookman Old Style" w:eastAsia="Times New Roman" w:cs="Tahoma"/>
          <w:color w:val="000000" w:themeColor="text1"/>
          <w:sz w:val="24"/>
          <w:szCs w:val="24"/>
          <w14:textFill>
            <w14:solidFill>
              <w14:schemeClr w14:val="tx1"/>
            </w14:solidFill>
          </w14:textFill>
        </w:rPr>
        <w:t>itasi</w:t>
      </w:r>
      <w:r>
        <w:rPr>
          <w:rFonts w:ascii="Bookman Old Style" w:hAnsi="Bookman Old Style" w:eastAsia="Times New Roman" w:cs="Tahoma"/>
          <w:color w:val="000000" w:themeColor="text1"/>
          <w:spacing w:val="-8"/>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se</w:t>
      </w:r>
      <w:r>
        <w:rPr>
          <w:rFonts w:ascii="Bookman Old Style" w:hAnsi="Bookman Old Style" w:eastAsia="Times New Roman" w:cs="Tahoma"/>
          <w:color w:val="000000" w:themeColor="text1"/>
          <w:spacing w:val="-1"/>
          <w:sz w:val="24"/>
          <w:szCs w:val="24"/>
          <w14:textFill>
            <w14:solidFill>
              <w14:schemeClr w14:val="tx1"/>
            </w14:solidFill>
          </w14:textFill>
        </w:rPr>
        <w:t>r</w:t>
      </w:r>
      <w:r>
        <w:rPr>
          <w:rFonts w:ascii="Bookman Old Style" w:hAnsi="Bookman Old Style" w:eastAsia="Times New Roman" w:cs="Tahoma"/>
          <w:color w:val="000000" w:themeColor="text1"/>
          <w:sz w:val="24"/>
          <w:szCs w:val="24"/>
          <w14:textFill>
            <w14:solidFill>
              <w14:schemeClr w14:val="tx1"/>
            </w14:solidFill>
          </w14:textFill>
        </w:rPr>
        <w:t>tifi</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asi</w:t>
      </w:r>
      <w:r>
        <w:rPr>
          <w:rFonts w:ascii="Bookman Old Style" w:hAnsi="Bookman Old Style" w:eastAsia="Times New Roman" w:cs="Tahoma"/>
          <w:color w:val="000000" w:themeColor="text1"/>
          <w:spacing w:val="-7"/>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yang</w:t>
      </w:r>
      <w:r>
        <w:rPr>
          <w:rFonts w:ascii="Bookman Old Style" w:hAnsi="Bookman Old Style" w:eastAsia="Times New Roman" w:cs="Tahoma"/>
          <w:color w:val="000000" w:themeColor="text1"/>
          <w:spacing w:val="-5"/>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dibutuh</w:t>
      </w:r>
      <w:r>
        <w:rPr>
          <w:rFonts w:ascii="Bookman Old Style" w:hAnsi="Bookman Old Style" w:eastAsia="Times New Roman" w:cs="Tahoma"/>
          <w:color w:val="000000" w:themeColor="text1"/>
          <w:spacing w:val="1"/>
          <w:sz w:val="24"/>
          <w:szCs w:val="24"/>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an.</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sektor ekonomi sekunder dan tersier berbasis agro dan kelautan sesuai keunggulan kawasan yang bernilai ekonomi tinggi, dikelola secara berhasil guna, terpadu dan ramah lingkungan.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sektor ekonomi sekunder dan tersier berbasis agro dan kelautan sesuai keunggulan kawasan yang bernilai ekonomi tinggi, dikelola secara berhasil guna, terpadu dan ramah lingkungan sebagaimana dimaksud  di atas, meliputi:</w:t>
      </w:r>
    </w:p>
    <w:p>
      <w:pPr>
        <w:numPr>
          <w:ilvl w:val="0"/>
          <w:numId w:val="92"/>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penelitian dan pengelolaan sumber daya kelautan dan perikanan sehingga menjadi kekuatan utama ekonomi masyarakat pesisir; dan</w:t>
      </w:r>
    </w:p>
    <w:p>
      <w:pPr>
        <w:numPr>
          <w:ilvl w:val="0"/>
          <w:numId w:val="92"/>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kegiatan pariwisata melalui peningkatan prasarana dan sarana pendukung, pengelolaan objek wisata yang lebih profesional serta pemasaran yang lebih agresif dan efektif.</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Kawasan P</w:t>
      </w:r>
      <w:r>
        <w:rPr>
          <w:rFonts w:ascii="Bookman Old Style" w:hAnsi="Bookman Old Style" w:eastAsia="Times New Roman" w:cs="Tahoma"/>
          <w:color w:val="000000" w:themeColor="text1"/>
          <w:sz w:val="24"/>
          <w:szCs w:val="24"/>
          <w14:textFill>
            <w14:solidFill>
              <w14:schemeClr w14:val="tx1"/>
            </w14:solidFill>
          </w14:textFill>
        </w:rPr>
        <w:t xml:space="preserve">usat </w:t>
      </w:r>
      <w:r>
        <w:rPr>
          <w:rFonts w:ascii="Bookman Old Style" w:hAnsi="Bookman Old Style" w:eastAsia="Times New Roman" w:cs="Tahoma"/>
          <w:color w:val="000000" w:themeColor="text1"/>
          <w:sz w:val="24"/>
          <w:szCs w:val="24"/>
          <w:lang w:val="id-ID"/>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 xml:space="preserve">istribusi </w:t>
      </w:r>
      <w:r>
        <w:rPr>
          <w:rFonts w:ascii="Bookman Old Style" w:hAnsi="Bookman Old Style" w:eastAsia="Times New Roman" w:cs="Tahoma"/>
          <w:color w:val="000000" w:themeColor="text1"/>
          <w:sz w:val="24"/>
          <w:szCs w:val="24"/>
          <w:lang w:val="id-ID"/>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ebutuhan </w:t>
      </w:r>
      <w:r>
        <w:rPr>
          <w:rFonts w:ascii="Bookman Old Style" w:hAnsi="Bookman Old Style" w:eastAsia="Times New Roman" w:cs="Tahoma"/>
          <w:color w:val="000000" w:themeColor="text1"/>
          <w:sz w:val="24"/>
          <w:szCs w:val="24"/>
          <w:lang w:val="id-ID"/>
          <w14:textFill>
            <w14:solidFill>
              <w14:schemeClr w14:val="tx1"/>
            </w14:solidFill>
          </w14:textFill>
        </w:rPr>
        <w:t>B</w:t>
      </w:r>
      <w:r>
        <w:rPr>
          <w:rFonts w:ascii="Bookman Old Style" w:hAnsi="Bookman Old Style" w:eastAsia="Times New Roman" w:cs="Tahoma"/>
          <w:color w:val="000000" w:themeColor="text1"/>
          <w:sz w:val="24"/>
          <w:szCs w:val="24"/>
          <w14:textFill>
            <w14:solidFill>
              <w14:schemeClr w14:val="tx1"/>
            </w14:solidFill>
          </w14:textFill>
        </w:rPr>
        <w:t xml:space="preserve">ahan </w:t>
      </w:r>
      <w:r>
        <w:rPr>
          <w:rFonts w:ascii="Bookman Old Style" w:hAnsi="Bookman Old Style" w:eastAsia="Times New Roman" w:cs="Tahoma"/>
          <w:color w:val="000000" w:themeColor="text1"/>
          <w:sz w:val="24"/>
          <w:szCs w:val="24"/>
          <w:lang w:val="id-ID"/>
          <w14:textFill>
            <w14:solidFill>
              <w14:schemeClr w14:val="tx1"/>
            </w14:solidFill>
          </w14:textFill>
        </w:rPr>
        <w:t>P</w:t>
      </w:r>
      <w:r>
        <w:rPr>
          <w:rFonts w:ascii="Bookman Old Style" w:hAnsi="Bookman Old Style" w:eastAsia="Times New Roman" w:cs="Tahoma"/>
          <w:color w:val="000000" w:themeColor="text1"/>
          <w:sz w:val="24"/>
          <w:szCs w:val="24"/>
          <w14:textFill>
            <w14:solidFill>
              <w14:schemeClr w14:val="tx1"/>
            </w14:solidFill>
          </w14:textFill>
        </w:rPr>
        <w:t xml:space="preserve">okok </w:t>
      </w:r>
      <w:r>
        <w:rPr>
          <w:rFonts w:ascii="Bookman Old Style" w:hAnsi="Bookman Old Style" w:eastAsia="Times New Roman" w:cs="Tahoma"/>
          <w:color w:val="000000" w:themeColor="text1"/>
          <w:sz w:val="24"/>
          <w:szCs w:val="24"/>
          <w:lang w:val="id-ID"/>
          <w14:textFill>
            <w14:solidFill>
              <w14:schemeClr w14:val="tx1"/>
            </w14:solidFill>
          </w14:textFill>
        </w:rPr>
        <w:t>(Kawasan Timur Indonesia (</w:t>
      </w:r>
      <w:r>
        <w:rPr>
          <w:rFonts w:ascii="Bookman Old Style" w:hAnsi="Bookman Old Style" w:eastAsia="Times New Roman" w:cs="Tahoma"/>
          <w:color w:val="000000" w:themeColor="text1"/>
          <w:sz w:val="24"/>
          <w:szCs w:val="24"/>
          <w14:textFill>
            <w14:solidFill>
              <w14:schemeClr w14:val="tx1"/>
            </w14:solidFill>
          </w14:textFill>
        </w:rPr>
        <w:t>KTI</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 xml:space="preserve"> dan pendukung perminyakan di Pamatata</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Strategi </w:t>
      </w:r>
      <w:r>
        <w:rPr>
          <w:rFonts w:ascii="Bookman Old Style" w:hAnsi="Bookman Old Style" w:eastAsia="Times New Roman" w:cs="Tahoma"/>
          <w:color w:val="000000" w:themeColor="text1"/>
          <w:sz w:val="24"/>
          <w:szCs w:val="24"/>
          <w:lang w:val="id-ID"/>
          <w14:textFill>
            <w14:solidFill>
              <w14:schemeClr w14:val="tx1"/>
            </w14:solidFill>
          </w14:textFill>
        </w:rPr>
        <w:t>Kawasan P</w:t>
      </w:r>
      <w:r>
        <w:rPr>
          <w:rFonts w:ascii="Bookman Old Style" w:hAnsi="Bookman Old Style" w:eastAsia="Times New Roman" w:cs="Tahoma"/>
          <w:color w:val="000000" w:themeColor="text1"/>
          <w:sz w:val="24"/>
          <w:szCs w:val="24"/>
          <w14:textFill>
            <w14:solidFill>
              <w14:schemeClr w14:val="tx1"/>
            </w14:solidFill>
          </w14:textFill>
        </w:rPr>
        <w:t xml:space="preserve">usat </w:t>
      </w:r>
      <w:r>
        <w:rPr>
          <w:rFonts w:ascii="Bookman Old Style" w:hAnsi="Bookman Old Style" w:eastAsia="Times New Roman" w:cs="Tahoma"/>
          <w:color w:val="000000" w:themeColor="text1"/>
          <w:sz w:val="24"/>
          <w:szCs w:val="24"/>
          <w:lang w:val="id-ID"/>
          <w14:textFill>
            <w14:solidFill>
              <w14:schemeClr w14:val="tx1"/>
            </w14:solidFill>
          </w14:textFill>
        </w:rPr>
        <w:t>D</w:t>
      </w:r>
      <w:r>
        <w:rPr>
          <w:rFonts w:ascii="Bookman Old Style" w:hAnsi="Bookman Old Style" w:eastAsia="Times New Roman" w:cs="Tahoma"/>
          <w:color w:val="000000" w:themeColor="text1"/>
          <w:sz w:val="24"/>
          <w:szCs w:val="24"/>
          <w14:textFill>
            <w14:solidFill>
              <w14:schemeClr w14:val="tx1"/>
            </w14:solidFill>
          </w14:textFill>
        </w:rPr>
        <w:t xml:space="preserve">istribusi </w:t>
      </w:r>
      <w:r>
        <w:rPr>
          <w:rFonts w:ascii="Bookman Old Style" w:hAnsi="Bookman Old Style" w:eastAsia="Times New Roman" w:cs="Tahoma"/>
          <w:color w:val="000000" w:themeColor="text1"/>
          <w:sz w:val="24"/>
          <w:szCs w:val="24"/>
          <w:lang w:val="id-ID"/>
          <w14:textFill>
            <w14:solidFill>
              <w14:schemeClr w14:val="tx1"/>
            </w14:solidFill>
          </w14:textFill>
        </w:rPr>
        <w:t>K</w:t>
      </w:r>
      <w:r>
        <w:rPr>
          <w:rFonts w:ascii="Bookman Old Style" w:hAnsi="Bookman Old Style" w:eastAsia="Times New Roman" w:cs="Tahoma"/>
          <w:color w:val="000000" w:themeColor="text1"/>
          <w:sz w:val="24"/>
          <w:szCs w:val="24"/>
          <w14:textFill>
            <w14:solidFill>
              <w14:schemeClr w14:val="tx1"/>
            </w14:solidFill>
          </w14:textFill>
        </w:rPr>
        <w:t xml:space="preserve">ebutuhan </w:t>
      </w:r>
      <w:r>
        <w:rPr>
          <w:rFonts w:ascii="Bookman Old Style" w:hAnsi="Bookman Old Style" w:eastAsia="Times New Roman" w:cs="Tahoma"/>
          <w:color w:val="000000" w:themeColor="text1"/>
          <w:sz w:val="24"/>
          <w:szCs w:val="24"/>
          <w:lang w:val="id-ID"/>
          <w14:textFill>
            <w14:solidFill>
              <w14:schemeClr w14:val="tx1"/>
            </w14:solidFill>
          </w14:textFill>
        </w:rPr>
        <w:t>B</w:t>
      </w:r>
      <w:r>
        <w:rPr>
          <w:rFonts w:ascii="Bookman Old Style" w:hAnsi="Bookman Old Style" w:eastAsia="Times New Roman" w:cs="Tahoma"/>
          <w:color w:val="000000" w:themeColor="text1"/>
          <w:sz w:val="24"/>
          <w:szCs w:val="24"/>
          <w14:textFill>
            <w14:solidFill>
              <w14:schemeClr w14:val="tx1"/>
            </w14:solidFill>
          </w14:textFill>
        </w:rPr>
        <w:t xml:space="preserve">ahan </w:t>
      </w:r>
      <w:r>
        <w:rPr>
          <w:rFonts w:ascii="Bookman Old Style" w:hAnsi="Bookman Old Style" w:eastAsia="Times New Roman" w:cs="Tahoma"/>
          <w:color w:val="000000" w:themeColor="text1"/>
          <w:sz w:val="24"/>
          <w:szCs w:val="24"/>
          <w:lang w:val="id-ID"/>
          <w14:textFill>
            <w14:solidFill>
              <w14:schemeClr w14:val="tx1"/>
            </w14:solidFill>
          </w14:textFill>
        </w:rPr>
        <w:t>P</w:t>
      </w:r>
      <w:r>
        <w:rPr>
          <w:rFonts w:ascii="Bookman Old Style" w:hAnsi="Bookman Old Style" w:eastAsia="Times New Roman" w:cs="Tahoma"/>
          <w:color w:val="000000" w:themeColor="text1"/>
          <w:sz w:val="24"/>
          <w:szCs w:val="24"/>
          <w14:textFill>
            <w14:solidFill>
              <w14:schemeClr w14:val="tx1"/>
            </w14:solidFill>
          </w14:textFill>
        </w:rPr>
        <w:t xml:space="preserve">okok </w:t>
      </w:r>
      <w:r>
        <w:rPr>
          <w:rFonts w:ascii="Bookman Old Style" w:hAnsi="Bookman Old Style" w:eastAsia="Times New Roman" w:cs="Tahoma"/>
          <w:color w:val="000000" w:themeColor="text1"/>
          <w:sz w:val="24"/>
          <w:szCs w:val="24"/>
          <w:lang w:val="id-ID"/>
          <w14:textFill>
            <w14:solidFill>
              <w14:schemeClr w14:val="tx1"/>
            </w14:solidFill>
          </w14:textFill>
        </w:rPr>
        <w:t>Kawasan Timur Indonesia (</w:t>
      </w:r>
      <w:r>
        <w:rPr>
          <w:rFonts w:ascii="Bookman Old Style" w:hAnsi="Bookman Old Style" w:eastAsia="Times New Roman" w:cs="Tahoma"/>
          <w:color w:val="000000" w:themeColor="text1"/>
          <w:sz w:val="24"/>
          <w:szCs w:val="24"/>
          <w14:textFill>
            <w14:solidFill>
              <w14:schemeClr w14:val="tx1"/>
            </w14:solidFill>
          </w14:textFill>
        </w:rPr>
        <w:t>KTI</w:t>
      </w:r>
      <w:r>
        <w:rPr>
          <w:rFonts w:ascii="Bookman Old Style" w:hAnsi="Bookman Old Style" w:eastAsia="Times New Roman" w:cs="Tahoma"/>
          <w:color w:val="000000" w:themeColor="text1"/>
          <w:sz w:val="24"/>
          <w:szCs w:val="24"/>
          <w:lang w:val="id-ID"/>
          <w14:textFill>
            <w14:solidFill>
              <w14:schemeClr w14:val="tx1"/>
            </w14:solidFill>
          </w14:textFill>
        </w:rPr>
        <w:t>)</w:t>
      </w:r>
      <w:r>
        <w:rPr>
          <w:rFonts w:ascii="Bookman Old Style" w:hAnsi="Bookman Old Style" w:eastAsia="Times New Roman" w:cs="Tahoma"/>
          <w:color w:val="000000" w:themeColor="text1"/>
          <w:sz w:val="24"/>
          <w:szCs w:val="24"/>
          <w14:textFill>
            <w14:solidFill>
              <w14:schemeClr w14:val="tx1"/>
            </w14:solidFill>
          </w14:textFill>
        </w:rPr>
        <w:t xml:space="preserve"> dan pendukung perminyakan di Pamatata sebagaimana dimaksud  di atas, meliputi:</w:t>
      </w:r>
    </w:p>
    <w:p>
      <w:pPr>
        <w:numPr>
          <w:ilvl w:val="0"/>
          <w:numId w:val="93"/>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melakukan perencanaan, implementasi, monitoring, dan evaluasi kegiatan dilakukan secara lintas sektor dan dikoordinasikan oleh Kementerian Koordinator Bidang Perekonomian;</w:t>
      </w:r>
    </w:p>
    <w:p>
      <w:pPr>
        <w:numPr>
          <w:ilvl w:val="0"/>
          <w:numId w:val="93"/>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memprioritaskan program jangka pendek yang mampu memberikan efek berantai terhadap perekonomian daerah dan kesejahteraan masyarakat; dan</w:t>
      </w:r>
    </w:p>
    <w:p>
      <w:pPr>
        <w:numPr>
          <w:ilvl w:val="0"/>
          <w:numId w:val="93"/>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menerapkan sistem pembiayaan oleh Pemerintah dan swasta, dan dikoordinasikan oleh Kementerian Koordinator Bidang Perekonomian.</w:t>
      </w:r>
    </w:p>
    <w:p>
      <w:pPr>
        <w:numPr>
          <w:ilvl w:val="0"/>
          <w:numId w:val="71"/>
        </w:numPr>
        <w:spacing w:after="0" w:line="360" w:lineRule="auto"/>
        <w:ind w:left="108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kawasan industri perikanan terpadu dan pusat budidaya ikan karang nasional</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kawasan industri perikanan terpadu dan pusat budidaya ikan karang nasional sebagaimana dimaksud  di atas, meliputi:</w:t>
      </w:r>
    </w:p>
    <w:p>
      <w:pPr>
        <w:numPr>
          <w:ilvl w:val="0"/>
          <w:numId w:val="94"/>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industri pengolahan perikanan di Benteng;</w:t>
      </w:r>
    </w:p>
    <w:p>
      <w:pPr>
        <w:numPr>
          <w:ilvl w:val="0"/>
          <w:numId w:val="94"/>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budidaya perikanan berwawasan lingkungan; dan</w:t>
      </w:r>
    </w:p>
    <w:p>
      <w:pPr>
        <w:numPr>
          <w:ilvl w:val="0"/>
          <w:numId w:val="94"/>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industri perikanan terpadu dengan memberdayakan masyarakat lokal dan meningkatkan sinergi di kawasan regional.</w:t>
      </w:r>
    </w:p>
    <w:p>
      <w:pPr>
        <w:numPr>
          <w:ilvl w:val="0"/>
          <w:numId w:val="71"/>
        </w:numPr>
        <w:spacing w:after="0" w:line="360" w:lineRule="auto"/>
        <w:ind w:left="1080" w:hanging="513"/>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Pengembangan pusat destinasi pariwisata bahari andalan nasional</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pusat destinasi pariwisata bahari andalan nasional sebagaimana dimaksud  di atas, meliputi:</w:t>
      </w:r>
    </w:p>
    <w:p>
      <w:pPr>
        <w:numPr>
          <w:ilvl w:val="0"/>
          <w:numId w:val="95"/>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ekowisata bahari di Kawasan Taka Bonerate;</w:t>
      </w:r>
    </w:p>
    <w:p>
      <w:pPr>
        <w:numPr>
          <w:ilvl w:val="0"/>
          <w:numId w:val="95"/>
        </w:numPr>
        <w:spacing w:after="0" w:line="360" w:lineRule="auto"/>
        <w:ind w:left="1440" w:hanging="360"/>
        <w:contextualSpacing/>
        <w:jc w:val="both"/>
        <w:rPr>
          <w:rFonts w:ascii="Bookman Old Style" w:hAnsi="Bookman Old Style" w:eastAsia="Times New Roman" w:cs="Tahoma"/>
          <w:color w:val="000000" w:themeColor="text1"/>
          <w:sz w:val="24"/>
          <w:szCs w:val="24"/>
          <w:lang w:val="zh-CN"/>
          <w14:textFill>
            <w14:solidFill>
              <w14:schemeClr w14:val="tx1"/>
            </w14:solidFill>
          </w14:textFill>
        </w:rPr>
      </w:pPr>
      <w:r>
        <w:rPr>
          <w:rFonts w:ascii="Bookman Old Style" w:hAnsi="Bookman Old Style" w:eastAsia="Times New Roman" w:cs="Tahoma"/>
          <w:color w:val="000000" w:themeColor="text1"/>
          <w:sz w:val="24"/>
          <w:szCs w:val="24"/>
          <w:lang w:val="zh-CN"/>
          <w14:textFill>
            <w14:solidFill>
              <w14:schemeClr w14:val="tx1"/>
            </w14:solidFill>
          </w14:textFill>
        </w:rPr>
        <w:t>mengembangkan wisata pantai dan bahari di Pulau Selayar dan sekitarnya;</w:t>
      </w:r>
    </w:p>
    <w:p>
      <w:pPr>
        <w:numPr>
          <w:ilvl w:val="0"/>
          <w:numId w:val="95"/>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melibatkan tokoh masyarakat dalam pengembangan pariwisata; dan</w:t>
      </w:r>
    </w:p>
    <w:p>
      <w:pPr>
        <w:numPr>
          <w:ilvl w:val="0"/>
          <w:numId w:val="95"/>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memberdayakan masyarakat melalui pengembangan </w:t>
      </w:r>
      <w:r>
        <w:rPr>
          <w:rFonts w:ascii="Bookman Old Style" w:hAnsi="Bookman Old Style" w:eastAsia="Times New Roman" w:cs="Tahoma"/>
          <w:i/>
          <w:color w:val="000000" w:themeColor="text1"/>
          <w:sz w:val="24"/>
          <w:szCs w:val="24"/>
          <w14:textFill>
            <w14:solidFill>
              <w14:schemeClr w14:val="tx1"/>
            </w14:solidFill>
          </w14:textFill>
        </w:rPr>
        <w:t>home stay</w:t>
      </w:r>
      <w:r>
        <w:rPr>
          <w:rFonts w:ascii="Bookman Old Style" w:hAnsi="Bookman Old Style" w:eastAsia="Times New Roman" w:cs="Tahoma"/>
          <w:color w:val="000000" w:themeColor="text1"/>
          <w:sz w:val="24"/>
          <w:szCs w:val="24"/>
          <w14:textFill>
            <w14:solidFill>
              <w14:schemeClr w14:val="tx1"/>
            </w14:solidFill>
          </w14:textFill>
        </w:rPr>
        <w:t>, desa wisata dan paket wisata lainnya.</w:t>
      </w:r>
    </w:p>
    <w:p>
      <w:pPr>
        <w:numPr>
          <w:ilvl w:val="0"/>
          <w:numId w:val="71"/>
        </w:numPr>
        <w:spacing w:after="0" w:line="360" w:lineRule="auto"/>
        <w:ind w:left="1080" w:hanging="51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Pengembangan wilayah pesisir dan pulau-pulau kecil yang melibatkan potensi lokal sumber daya manusia untuk mendukung peningkatan aspek bahari dan maritim di wilayah kabupaten.</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pengembangan wilayah pesisir dan pulau-pulau kecil yang melibatkan potensi lokal sumber daya manusia untuk mendukung peningkatan aspek bahari dan maritim di wilayah kabupaten sebagaimana dimaksud  di atas, meliputi:</w:t>
      </w:r>
    </w:p>
    <w:p>
      <w:pPr>
        <w:numPr>
          <w:ilvl w:val="0"/>
          <w:numId w:val="96"/>
        </w:numPr>
        <w:spacing w:after="0" w:line="360" w:lineRule="auto"/>
        <w:ind w:left="1418"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w:t>
      </w:r>
      <w:r>
        <w:rPr>
          <w:rFonts w:ascii="Bookman Old Style" w:hAnsi="Bookman Old Style" w:eastAsia="Times New Roman" w:cs="Tahoma"/>
          <w:color w:val="000000" w:themeColor="text1"/>
          <w:sz w:val="24"/>
          <w:szCs w:val="24"/>
          <w:lang w:val="id-ID"/>
          <w14:textFill>
            <w14:solidFill>
              <w14:schemeClr w14:val="tx1"/>
            </w14:solidFill>
          </w14:textFill>
        </w:rPr>
        <w:t xml:space="preserve">eningkatkan keterkaitan antara pusat-pusat kegiatan di wilayah pesisir dan </w:t>
      </w:r>
      <w:r>
        <w:rPr>
          <w:rFonts w:ascii="Bookman Old Style" w:hAnsi="Bookman Old Style" w:eastAsia="Times New Roman" w:cs="Tahoma"/>
          <w:color w:val="000000" w:themeColor="text1"/>
          <w:sz w:val="24"/>
          <w:szCs w:val="24"/>
          <w14:textFill>
            <w14:solidFill>
              <w14:schemeClr w14:val="tx1"/>
            </w14:solidFill>
          </w14:textFill>
        </w:rPr>
        <w:t>p</w:t>
      </w:r>
      <w:r>
        <w:rPr>
          <w:rFonts w:ascii="Bookman Old Style" w:hAnsi="Bookman Old Style" w:eastAsia="Times New Roman" w:cs="Tahoma"/>
          <w:color w:val="000000" w:themeColor="text1"/>
          <w:sz w:val="24"/>
          <w:szCs w:val="24"/>
          <w:lang w:val="id-ID"/>
          <w14:textFill>
            <w14:solidFill>
              <w14:schemeClr w14:val="tx1"/>
            </w14:solidFill>
          </w14:textFill>
        </w:rPr>
        <w:t>ulau-</w:t>
      </w:r>
      <w:r>
        <w:rPr>
          <w:rFonts w:ascii="Bookman Old Style" w:hAnsi="Bookman Old Style" w:eastAsia="Times New Roman" w:cs="Tahoma"/>
          <w:color w:val="000000" w:themeColor="text1"/>
          <w:sz w:val="24"/>
          <w:szCs w:val="24"/>
          <w14:textFill>
            <w14:solidFill>
              <w14:schemeClr w14:val="tx1"/>
            </w14:solidFill>
          </w14:textFill>
        </w:rPr>
        <w:t>p</w:t>
      </w:r>
      <w:r>
        <w:rPr>
          <w:rFonts w:ascii="Bookman Old Style" w:hAnsi="Bookman Old Style" w:eastAsia="Times New Roman" w:cs="Tahoma"/>
          <w:color w:val="000000" w:themeColor="text1"/>
          <w:sz w:val="24"/>
          <w:szCs w:val="24"/>
          <w:lang w:val="id-ID"/>
          <w14:textFill>
            <w14:solidFill>
              <w14:schemeClr w14:val="tx1"/>
            </w14:solidFill>
          </w14:textFill>
        </w:rPr>
        <w:t xml:space="preserve">ulau di </w:t>
      </w:r>
      <w:r>
        <w:rPr>
          <w:rFonts w:ascii="Bookman Old Style" w:hAnsi="Bookman Old Style" w:eastAsia="Times New Roman" w:cs="Tahoma"/>
          <w:color w:val="000000" w:themeColor="text1"/>
          <w:sz w:val="24"/>
          <w:szCs w:val="24"/>
          <w14:textFill>
            <w14:solidFill>
              <w14:schemeClr w14:val="tx1"/>
            </w14:solidFill>
          </w14:textFill>
        </w:rPr>
        <w:t>daerah</w:t>
      </w:r>
      <w:r>
        <w:rPr>
          <w:rFonts w:ascii="Bookman Old Style" w:hAnsi="Bookman Old Style" w:eastAsia="Times New Roman" w:cs="Tahoma"/>
          <w:color w:val="000000" w:themeColor="text1"/>
          <w:sz w:val="24"/>
          <w:szCs w:val="24"/>
          <w:lang w:val="id-ID"/>
          <w14:textFill>
            <w14:solidFill>
              <w14:schemeClr w14:val="tx1"/>
            </w14:solidFill>
          </w14:textFill>
        </w:rPr>
        <w:t xml:space="preserve"> dalam upaya peningkatan pertumbuhan ekonomi;</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mendorong perkembangan kawasan dengan membuka akses transportasi bagi daerah yang terisolir;</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kemampuan kawasan yang memiliki sektor unggulan pertanian untuk mencukupi kebutuhan di kawasannya sendiri serta memenuhi kebutuhan wilayah yang bertetangga;</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meningkatkan pemasaran komoditas lokal yang di dukung oleh akses transportasi yang memadai; </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penyediaan sarana dan prasarana pendukung dalam kegiatan ekonomi di wilayah pesisir;</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fungsi kawasan sebagai penyedia pelayanan jasa dan pusat kegiatan ekonomi, khususnya terkait dengan pelayanan dalam sektor kelautan dan perikanan dan kegiatan masyarakat</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di sepanjang pantai; </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meningkatkan penyediaan akses transportasi dari pulau-pulau tetangga dan dari pulau-pulau kecil terluar menuju pusat-pusat kegiatan; dan</w:t>
      </w:r>
    </w:p>
    <w:p>
      <w:pPr>
        <w:numPr>
          <w:ilvl w:val="0"/>
          <w:numId w:val="96"/>
        </w:numPr>
        <w:spacing w:after="0" w:line="360" w:lineRule="auto"/>
        <w:ind w:left="1440" w:hanging="360"/>
        <w:contextualSpacing/>
        <w:jc w:val="both"/>
        <w:rPr>
          <w:rFonts w:ascii="Bookman Old Style" w:hAnsi="Bookman Old Style" w:eastAsia="Times New Roman" w:cs="Tahoma"/>
          <w:color w:val="000000" w:themeColor="text1"/>
          <w:sz w:val="24"/>
          <w:szCs w:val="24"/>
          <w:lang w:val="id-ID"/>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 xml:space="preserve">meningkatkan daya tarik pusat kegiatan di sepanjang pesisir pantai dengan keunikan keadaan geografis alam tropis, kondisi sosial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budaya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masyarakat</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nelayan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dan</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 xml:space="preserve"> kondisi khas lingkungan </w:t>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lang w:val="id-ID"/>
          <w14:textFill>
            <w14:solidFill>
              <w14:schemeClr w14:val="tx1"/>
            </w14:solidFill>
          </w14:textFill>
        </w:rPr>
        <w:t>sekitar di kawasan pesisir pantai sehingga menarik wisatawan dan menjadikan kawasan sebagai daerah tujuan yang menarik dikunjungi wisatawan.</w:t>
      </w:r>
    </w:p>
    <w:p>
      <w:pPr>
        <w:numPr>
          <w:ilvl w:val="0"/>
          <w:numId w:val="71"/>
        </w:numPr>
        <w:spacing w:after="0" w:line="360" w:lineRule="auto"/>
        <w:ind w:left="1080" w:hanging="513"/>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w:t>
      </w:r>
      <w:r>
        <w:rPr>
          <w:rFonts w:ascii="Bookman Old Style" w:hAnsi="Bookman Old Style" w:eastAsia="Times New Roman" w:cs="Tahoma"/>
          <w:color w:val="000000" w:themeColor="text1"/>
          <w:sz w:val="24"/>
          <w:szCs w:val="24"/>
          <w:lang w:val="id-ID"/>
          <w14:textFill>
            <w14:solidFill>
              <w14:schemeClr w14:val="tx1"/>
            </w14:solidFill>
          </w14:textFill>
        </w:rPr>
        <w:t>ingkatan</w:t>
      </w:r>
      <w:r>
        <w:rPr>
          <w:rFonts w:ascii="Bookman Old Style" w:hAnsi="Bookman Old Style" w:eastAsia="Times New Roman" w:cs="Tahoma"/>
          <w:color w:val="000000" w:themeColor="text1"/>
          <w:sz w:val="24"/>
          <w:szCs w:val="24"/>
          <w14:textFill>
            <w14:solidFill>
              <w14:schemeClr w14:val="tx1"/>
            </w14:solidFill>
          </w14:textFill>
        </w:rPr>
        <w:t xml:space="preserve"> dan pengembangan</w:t>
      </w:r>
      <w:r>
        <w:rPr>
          <w:rFonts w:ascii="Bookman Old Style" w:hAnsi="Bookman Old Style" w:eastAsia="Times New Roman" w:cs="Tahoma"/>
          <w:color w:val="000000" w:themeColor="text1"/>
          <w:sz w:val="24"/>
          <w:szCs w:val="24"/>
          <w:lang w:val="id-ID"/>
          <w14:textFill>
            <w14:solidFill>
              <w14:schemeClr w14:val="tx1"/>
            </w14:solidFill>
          </w14:textFill>
        </w:rPr>
        <w:t xml:space="preserve"> fungsi </w:t>
      </w:r>
      <w:r>
        <w:rPr>
          <w:rFonts w:ascii="Bookman Old Style" w:hAnsi="Bookman Old Style" w:eastAsia="Times New Roman" w:cs="Tahoma"/>
          <w:color w:val="000000" w:themeColor="text1"/>
          <w:sz w:val="24"/>
          <w:szCs w:val="24"/>
          <w14:textFill>
            <w14:solidFill>
              <w14:schemeClr w14:val="tx1"/>
            </w14:solidFill>
          </w14:textFill>
        </w:rPr>
        <w:t>aspek pertahanan dan keamanan pulau-pulau kecil di daerah.</w:t>
      </w:r>
    </w:p>
    <w:p>
      <w:pPr>
        <w:spacing w:after="0" w:line="360" w:lineRule="auto"/>
        <w:ind w:left="108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Strategi pen</w:t>
      </w:r>
      <w:r>
        <w:rPr>
          <w:rFonts w:ascii="Bookman Old Style" w:hAnsi="Bookman Old Style" w:eastAsia="Times New Roman" w:cs="Tahoma"/>
          <w:color w:val="000000" w:themeColor="text1"/>
          <w:sz w:val="24"/>
          <w:szCs w:val="24"/>
          <w:lang w:val="id-ID"/>
          <w14:textFill>
            <w14:solidFill>
              <w14:schemeClr w14:val="tx1"/>
            </w14:solidFill>
          </w14:textFill>
        </w:rPr>
        <w:t>ingkatan</w:t>
      </w:r>
      <w:r>
        <w:rPr>
          <w:rFonts w:ascii="Bookman Old Style" w:hAnsi="Bookman Old Style" w:eastAsia="Times New Roman" w:cs="Tahoma"/>
          <w:color w:val="000000" w:themeColor="text1"/>
          <w:sz w:val="24"/>
          <w:szCs w:val="24"/>
          <w14:textFill>
            <w14:solidFill>
              <w14:schemeClr w14:val="tx1"/>
            </w14:solidFill>
          </w14:textFill>
        </w:rPr>
        <w:t xml:space="preserve"> dan pengembangan</w:t>
      </w:r>
      <w:r>
        <w:rPr>
          <w:rFonts w:ascii="Bookman Old Style" w:hAnsi="Bookman Old Style" w:eastAsia="Times New Roman" w:cs="Tahoma"/>
          <w:color w:val="000000" w:themeColor="text1"/>
          <w:sz w:val="24"/>
          <w:szCs w:val="24"/>
          <w:lang w:val="id-ID"/>
          <w14:textFill>
            <w14:solidFill>
              <w14:schemeClr w14:val="tx1"/>
            </w14:solidFill>
          </w14:textFill>
        </w:rPr>
        <w:t xml:space="preserve"> fungsi </w:t>
      </w:r>
      <w:r>
        <w:rPr>
          <w:rFonts w:ascii="Bookman Old Style" w:hAnsi="Bookman Old Style" w:eastAsia="Times New Roman" w:cs="Tahoma"/>
          <w:color w:val="000000" w:themeColor="text1"/>
          <w:sz w:val="24"/>
          <w:szCs w:val="24"/>
          <w14:textFill>
            <w14:solidFill>
              <w14:schemeClr w14:val="tx1"/>
            </w14:solidFill>
          </w14:textFill>
        </w:rPr>
        <w:t>aspek pertahanan dan keamanan pulau-pulau kecil di daerah sebagaimana dimaksud  di atas, meliputi :</w:t>
      </w:r>
    </w:p>
    <w:p>
      <w:pPr>
        <w:numPr>
          <w:ilvl w:val="0"/>
          <w:numId w:val="97"/>
        </w:numPr>
        <w:spacing w:after="0" w:line="360" w:lineRule="auto"/>
        <w:ind w:left="1418"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kawasan lindung dan/atau kawasan budidaya tidak terbangun di sekitar kawasan pertahanan dan keamanan sebagai zona penyangga yang memisahkan kawasan tersebut dengan kawasan budidaya terbangun di sekitarnya; </w:t>
      </w:r>
    </w:p>
    <w:p>
      <w:pPr>
        <w:numPr>
          <w:ilvl w:val="0"/>
          <w:numId w:val="97"/>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mengembangkan kegiatan budidaya secara selektif di dalam dan                di sekitar kawasan peruntukan pertahanan dan keamanan Negara sesuai fungsi dan peruntukannya; dan </w:t>
      </w:r>
    </w:p>
    <w:p>
      <w:pPr>
        <w:numPr>
          <w:ilvl w:val="0"/>
          <w:numId w:val="97"/>
        </w:numPr>
        <w:spacing w:after="0" w:line="360" w:lineRule="auto"/>
        <w:ind w:left="144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turut serta menjaga dan memelihara aset-aset pertahanan dan keamanan Negara di wilayah Kabupaten.</w:t>
      </w:r>
    </w:p>
    <w:p>
      <w:pPr>
        <w:snapToGrid w:val="0"/>
        <w:spacing w:after="0" w:line="360" w:lineRule="auto"/>
        <w:ind w:left="720" w:firstLine="981"/>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Adapun program utama yang dirumuskan dalam RTRW Kabupaten Kepulauan Selayar yang terkait dengan Pertumbuhan ekonomi pada sektor perdagangan, koperasi dan usaha kecil dan menengah, yakni program peningkatan sarana distribusi perdagangan dari sudut pandang </w:t>
      </w:r>
      <w:r>
        <w:rPr>
          <w:rFonts w:ascii="Bookman Old Style" w:hAnsi="Bookman Old Style" w:eastAsia="Times New Roman" w:cs="Times New Roman"/>
          <w:color w:val="000000" w:themeColor="text1"/>
          <w:spacing w:val="4"/>
          <w:sz w:val="24"/>
          <w:szCs w:val="20"/>
          <w14:textFill>
            <w14:solidFill>
              <w14:schemeClr w14:val="tx1"/>
            </w14:solidFill>
          </w14:textFill>
        </w:rPr>
        <w:t>daya dukung kawasan dan kriteria pengembangan</w:t>
      </w:r>
      <w:r>
        <w:rPr>
          <w:rFonts w:ascii="Bookman Old Style" w:hAnsi="Bookman Old Style" w:eastAsia="Times New Roman" w:cs="Times New Roman"/>
          <w:color w:val="000000" w:themeColor="text1"/>
          <w:sz w:val="24"/>
          <w:szCs w:val="20"/>
          <w14:textFill>
            <w14:solidFill>
              <w14:schemeClr w14:val="tx1"/>
            </w14:solidFill>
          </w14:textFill>
        </w:rPr>
        <w:t xml:space="preserve"> </w:t>
      </w:r>
      <w:r>
        <w:rPr>
          <w:rFonts w:ascii="Bookman Old Style" w:hAnsi="Bookman Old Style" w:eastAsia="Times New Roman" w:cs="Times New Roman"/>
          <w:color w:val="000000" w:themeColor="text1"/>
          <w:spacing w:val="4"/>
          <w:sz w:val="24"/>
          <w:szCs w:val="20"/>
          <w14:textFill>
            <w14:solidFill>
              <w14:schemeClr w14:val="tx1"/>
            </w14:solidFill>
          </w14:textFill>
        </w:rPr>
        <w:t>kawasan-kawasan fungsional dalam kerangka pengembangan wilayah meliputi</w:t>
      </w:r>
      <w:r>
        <w:rPr>
          <w:rFonts w:ascii="Bookman Old Style" w:hAnsi="Bookman Old Style" w:eastAsia="Times New Roman" w:cs="Times New Roman"/>
          <w:color w:val="000000" w:themeColor="text1"/>
          <w:sz w:val="24"/>
          <w:szCs w:val="20"/>
          <w14:textFill>
            <w14:solidFill>
              <w14:schemeClr w14:val="tx1"/>
            </w14:solidFill>
          </w14:textFill>
        </w:rPr>
        <w:t xml:space="preserve"> :</w:t>
      </w:r>
    </w:p>
    <w:p>
      <w:pPr>
        <w:snapToGrid w:val="0"/>
        <w:spacing w:after="0" w:line="360" w:lineRule="auto"/>
        <w:ind w:left="990" w:hanging="311"/>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1. Rehabilitasi/revitalisasi kawasan</w:t>
      </w:r>
    </w:p>
    <w:p>
      <w:pPr>
        <w:snapToGrid w:val="0"/>
        <w:spacing w:after="0" w:line="360" w:lineRule="auto"/>
        <w:ind w:left="990" w:hanging="311"/>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2. Pengembangan/peningkatan kualitas kawasan</w:t>
      </w:r>
    </w:p>
    <w:p>
      <w:pPr>
        <w:spacing w:after="0" w:line="360" w:lineRule="auto"/>
        <w:ind w:left="720" w:firstLine="981"/>
        <w:contextualSpacing w:val="0"/>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Berdasarkan program utama tersebut, Dinas P</w:t>
      </w:r>
      <w:r>
        <w:rPr>
          <w:rFonts w:ascii="Bookman Old Style" w:hAnsi="Bookman Old Style" w:eastAsia="Times New Roman" w:cs="Times New Roman"/>
          <w:color w:val="000000" w:themeColor="text1"/>
          <w:sz w:val="24"/>
          <w:szCs w:val="20"/>
          <w14:textFill>
            <w14:solidFill>
              <w14:schemeClr w14:val="tx1"/>
            </w14:solidFill>
          </w14:textFill>
        </w:rPr>
        <w:t>erindustrian, Perdagangan, Koperasi dan Usaha Kecil dan Menengah</w:t>
      </w:r>
      <w:r>
        <w:rPr>
          <w:rFonts w:ascii="Bookman Old Style" w:hAnsi="Bookman Old Style" w:eastAsia="Times New Roman" w:cs="Times New Roman"/>
          <w:color w:val="000000" w:themeColor="text1"/>
          <w:sz w:val="24"/>
          <w:szCs w:val="24"/>
          <w14:textFill>
            <w14:solidFill>
              <w14:schemeClr w14:val="tx1"/>
            </w14:solidFill>
          </w14:textFill>
        </w:rPr>
        <w:t xml:space="preserve"> Kabupaten Kepulauan Selayar menyajikan faktor-faktor pendorong dan penghambat pelayanan yang dapat mempengaruhi pencapaian sasaran program RTRW.</w:t>
      </w: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p>
      <w:pPr>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Tabel 3.4.1.1</w:t>
      </w:r>
    </w:p>
    <w:p>
      <w:pPr>
        <w:snapToGrid w:val="0"/>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Permasalahan Pelayanan OPD berdasarkan Telaahan Rencana Tata Ruang Wilayah beserta Faktor Penghambat dan Pendorong Keberhasilan Penanganannya</w:t>
      </w:r>
    </w:p>
    <w:p>
      <w:pPr>
        <w:snapToGrid w:val="0"/>
        <w:spacing w:after="0" w:line="240" w:lineRule="auto"/>
        <w:jc w:val="center"/>
        <w:rPr>
          <w:rFonts w:ascii="Bookman Old Style" w:hAnsi="Bookman Old Style" w:eastAsia="Times New Roman" w:cs="Times New Roman"/>
          <w:color w:val="000000" w:themeColor="text1"/>
          <w:sz w:val="24"/>
          <w:szCs w:val="20"/>
          <w14:textFill>
            <w14:solidFill>
              <w14:schemeClr w14:val="tx1"/>
            </w14:solidFill>
          </w14:textFill>
        </w:rPr>
      </w:pPr>
    </w:p>
    <w:tbl>
      <w:tblPr>
        <w:tblStyle w:val="4"/>
        <w:tblW w:w="968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601"/>
        <w:gridCol w:w="1985"/>
        <w:gridCol w:w="1842"/>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18"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No</w:t>
            </w:r>
          </w:p>
        </w:tc>
        <w:tc>
          <w:tcPr>
            <w:tcW w:w="2601"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Rencana Tata Ruang Wilayah terkait Tugas dan Fungsi OPD</w:t>
            </w:r>
          </w:p>
        </w:tc>
        <w:tc>
          <w:tcPr>
            <w:tcW w:w="1985" w:type="dxa"/>
            <w:vMerge w:val="restart"/>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 xml:space="preserve">Permasalahan </w:t>
            </w:r>
          </w:p>
          <w:p>
            <w:pPr>
              <w:snapToGrid w:val="0"/>
              <w:spacing w:after="0" w:line="240" w:lineRule="auto"/>
              <w:jc w:val="center"/>
              <w:rPr>
                <w:rFonts w:ascii="Bookman Old Style" w:hAnsi="Bookman Old Style" w:eastAsia="Times New Roman" w:cs="Times New Roman"/>
                <w:b/>
                <w:color w:val="000000" w:themeColor="text1"/>
                <w:sz w:val="18"/>
                <w:szCs w:val="18"/>
                <w:lang w:val="id-ID"/>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 xml:space="preserve">Pelayanan OPD </w:t>
            </w:r>
          </w:p>
        </w:tc>
        <w:tc>
          <w:tcPr>
            <w:tcW w:w="4583" w:type="dxa"/>
            <w:gridSpan w:val="2"/>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Faktor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18"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2601"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1985" w:type="dxa"/>
            <w:vMerge w:val="continue"/>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p>
        </w:tc>
        <w:tc>
          <w:tcPr>
            <w:tcW w:w="1842"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Penghambat</w:t>
            </w:r>
          </w:p>
        </w:tc>
        <w:tc>
          <w:tcPr>
            <w:tcW w:w="2741" w:type="dxa"/>
            <w:shd w:val="clear" w:color="auto" w:fill="C2D69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Pendorong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18" w:type="dxa"/>
            <w:shd w:val="clear" w:color="auto" w:fill="F2DBDB"/>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(1)</w:t>
            </w:r>
          </w:p>
        </w:tc>
        <w:tc>
          <w:tcPr>
            <w:tcW w:w="2601" w:type="dxa"/>
            <w:shd w:val="clear" w:color="auto" w:fill="FDE9D9"/>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(2)</w:t>
            </w:r>
          </w:p>
        </w:tc>
        <w:tc>
          <w:tcPr>
            <w:tcW w:w="1985" w:type="dxa"/>
            <w:shd w:val="clear" w:color="auto" w:fill="FDE9D9"/>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(3)</w:t>
            </w:r>
          </w:p>
        </w:tc>
        <w:tc>
          <w:tcPr>
            <w:tcW w:w="1842" w:type="dxa"/>
            <w:shd w:val="clear" w:color="auto" w:fill="FDE9D9"/>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(4)</w:t>
            </w:r>
          </w:p>
        </w:tc>
        <w:tc>
          <w:tcPr>
            <w:tcW w:w="2741" w:type="dxa"/>
            <w:shd w:val="clear" w:color="auto" w:fill="FDE9D9"/>
            <w:vAlign w:val="center"/>
          </w:tcPr>
          <w:p>
            <w:pPr>
              <w:snapToGrid w:val="0"/>
              <w:spacing w:after="0" w:line="240" w:lineRule="auto"/>
              <w:jc w:val="center"/>
              <w:rPr>
                <w:rFonts w:ascii="Bookman Old Style" w:hAnsi="Bookman Old Style" w:eastAsia="Times New Roman" w:cs="Times New Roman"/>
                <w:b/>
                <w:color w:val="000000" w:themeColor="text1"/>
                <w:sz w:val="18"/>
                <w:szCs w:val="18"/>
                <w14:textFill>
                  <w14:solidFill>
                    <w14:schemeClr w14:val="tx1"/>
                  </w14:solidFill>
                </w14:textFill>
              </w:rPr>
            </w:pPr>
            <w:r>
              <w:rPr>
                <w:rFonts w:ascii="Bookman Old Style" w:hAnsi="Bookman Old Style" w:eastAsia="Times New Roman" w:cs="Times New Roman"/>
                <w:b/>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518" w:type="dxa"/>
            <w:shd w:val="clear" w:color="auto" w:fill="auto"/>
          </w:tcPr>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tc>
        <w:tc>
          <w:tcPr>
            <w:tcW w:w="2601" w:type="dxa"/>
            <w:shd w:val="clear" w:color="auto" w:fill="auto"/>
            <w:vAlign w:val="center"/>
          </w:tcPr>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1.Rehabilitasi dan </w:t>
            </w:r>
          </w:p>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Pengembangan </w:t>
            </w:r>
          </w:p>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Kawasan Strategis    </w:t>
            </w:r>
          </w:p>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Kabupaten dari  </w:t>
            </w:r>
          </w:p>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sudut pandang </w:t>
            </w:r>
          </w:p>
          <w:p>
            <w:pPr>
              <w:snapToGrid w:val="0"/>
              <w:spacing w:after="0" w:line="240" w:lineRule="auto"/>
              <w:ind w:left="273" w:hanging="273"/>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pandang </w:t>
            </w:r>
            <w:r>
              <w:rPr>
                <w:rFonts w:ascii="Bookman Old Style" w:hAnsi="Bookman Old Style" w:eastAsia="Times New Roman" w:cs="Times New Roman"/>
                <w:color w:val="000000" w:themeColor="text1"/>
                <w:spacing w:val="4"/>
                <w:sz w:val="18"/>
                <w:szCs w:val="18"/>
                <w14:textFill>
                  <w14:solidFill>
                    <w14:schemeClr w14:val="tx1"/>
                  </w14:solidFill>
                </w14:textFill>
              </w:rPr>
              <w:t>daya dukung kawasan dan kriteria pengembangan</w:t>
            </w:r>
            <w:r>
              <w:rPr>
                <w:rFonts w:ascii="Bookman Old Style" w:hAnsi="Bookman Old Style" w:eastAsia="Times New Roman" w:cs="Times New Roman"/>
                <w:color w:val="000000" w:themeColor="text1"/>
                <w:sz w:val="18"/>
                <w:szCs w:val="18"/>
                <w14:textFill>
                  <w14:solidFill>
                    <w14:schemeClr w14:val="tx1"/>
                  </w14:solidFill>
                </w14:textFill>
              </w:rPr>
              <w:t xml:space="preserve"> </w:t>
            </w:r>
            <w:r>
              <w:rPr>
                <w:rFonts w:ascii="Bookman Old Style" w:hAnsi="Bookman Old Style" w:eastAsia="Times New Roman" w:cs="Times New Roman"/>
                <w:color w:val="000000" w:themeColor="text1"/>
                <w:spacing w:val="4"/>
                <w:sz w:val="18"/>
                <w:szCs w:val="18"/>
                <w14:textFill>
                  <w14:solidFill>
                    <w14:schemeClr w14:val="tx1"/>
                  </w14:solidFill>
                </w14:textFill>
              </w:rPr>
              <w:t>kawasan-kawasan fungsional</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 Rehabilitasi/</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Revitalisasi   </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    kawasan</w:t>
            </w:r>
          </w:p>
          <w:p>
            <w:pPr>
              <w:snapToGrid w:val="0"/>
              <w:spacing w:after="0" w:line="240" w:lineRule="auto"/>
              <w:ind w:left="311" w:hanging="311"/>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3. Pengembangan/ peningkatan kualitas kawasan</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p>
            <w:pPr>
              <w:snapToGrid w:val="0"/>
              <w:spacing w:after="0" w:line="240" w:lineRule="auto"/>
              <w:ind w:left="3589"/>
              <w:contextualSpacing/>
              <w:rPr>
                <w:rFonts w:ascii="Bookman Old Style" w:hAnsi="Bookman Old Style" w:eastAsia="Times New Roman" w:cs="Times New Roman"/>
                <w:color w:val="000000" w:themeColor="text1"/>
                <w:sz w:val="18"/>
                <w:szCs w:val="18"/>
                <w14:textFill>
                  <w14:solidFill>
                    <w14:schemeClr w14:val="tx1"/>
                  </w14:solidFill>
                </w14:textFill>
              </w:rPr>
            </w:pPr>
          </w:p>
        </w:tc>
        <w:tc>
          <w:tcPr>
            <w:tcW w:w="1985" w:type="dxa"/>
            <w:shd w:val="clear" w:color="auto" w:fill="auto"/>
          </w:tcPr>
          <w:p>
            <w:pPr>
              <w:snapToGrid w:val="0"/>
              <w:spacing w:after="0" w:line="240" w:lineRule="auto"/>
              <w:ind w:left="329" w:hanging="329"/>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1.  Menurunnya daya dukung, fungsi dan kualitas kawasan</w:t>
            </w:r>
          </w:p>
          <w:p>
            <w:pPr>
              <w:snapToGrid w:val="0"/>
              <w:spacing w:after="0" w:line="240" w:lineRule="auto"/>
              <w:ind w:left="329" w:hanging="329"/>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2.  pembebasan lahan belum ada</w:t>
            </w:r>
          </w:p>
          <w:p>
            <w:pPr>
              <w:snapToGrid w:val="0"/>
              <w:spacing w:after="0" w:line="240" w:lineRule="auto"/>
              <w:ind w:left="329" w:hanging="329"/>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3.  perencanaan terkait revitalisasi kawasan dan peningkatan kualitas kawasan belum ada  </w:t>
            </w:r>
          </w:p>
        </w:tc>
        <w:tc>
          <w:tcPr>
            <w:tcW w:w="1842" w:type="dxa"/>
            <w:shd w:val="clear" w:color="auto" w:fill="auto"/>
          </w:tcPr>
          <w:p>
            <w:pPr>
              <w:numPr>
                <w:ilvl w:val="0"/>
                <w:numId w:val="98"/>
              </w:numPr>
              <w:snapToGrid w:val="0"/>
              <w:spacing w:after="0" w:line="240" w:lineRule="auto"/>
              <w:ind w:left="166" w:hanging="270"/>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Belum dilakukannya KLHS terkait pengembangan kawasan strategis provinsi.</w:t>
            </w:r>
          </w:p>
          <w:p>
            <w:pPr>
              <w:numPr>
                <w:ilvl w:val="0"/>
                <w:numId w:val="98"/>
              </w:numPr>
              <w:snapToGrid w:val="0"/>
              <w:spacing w:after="0" w:line="240" w:lineRule="auto"/>
              <w:ind w:left="166" w:hanging="270"/>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Lemahnya pengawasan dan penegakan hukum terkait kesesuaian zonasi kawasan.</w:t>
            </w:r>
          </w:p>
          <w:p>
            <w:pPr>
              <w:snapToGrid w:val="0"/>
              <w:spacing w:after="0" w:line="240" w:lineRule="auto"/>
              <w:rPr>
                <w:rFonts w:ascii="Bookman Old Style" w:hAnsi="Bookman Old Style" w:eastAsia="Times New Roman" w:cs="Times New Roman"/>
                <w:color w:val="000000" w:themeColor="text1"/>
                <w:sz w:val="18"/>
                <w:szCs w:val="18"/>
                <w14:textFill>
                  <w14:solidFill>
                    <w14:schemeClr w14:val="tx1"/>
                  </w14:solidFill>
                </w14:textFill>
              </w:rPr>
            </w:pPr>
          </w:p>
        </w:tc>
        <w:tc>
          <w:tcPr>
            <w:tcW w:w="2741" w:type="dxa"/>
            <w:shd w:val="clear" w:color="auto" w:fill="auto"/>
          </w:tcPr>
          <w:p>
            <w:pPr>
              <w:numPr>
                <w:ilvl w:val="0"/>
                <w:numId w:val="99"/>
              </w:numPr>
              <w:snapToGrid w:val="0"/>
              <w:spacing w:after="0" w:line="240" w:lineRule="auto"/>
              <w:ind w:left="232" w:hanging="232"/>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 xml:space="preserve">Undang-Undang No.32 Tahun 2009 tentang Perlindungan dan Pengelolaan Lingkungan Hidup </w:t>
            </w:r>
          </w:p>
          <w:p>
            <w:pPr>
              <w:numPr>
                <w:ilvl w:val="0"/>
                <w:numId w:val="99"/>
              </w:numPr>
              <w:snapToGrid w:val="0"/>
              <w:spacing w:after="0" w:line="240" w:lineRule="auto"/>
              <w:ind w:left="232" w:hanging="232"/>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PP Nomor 46 Tahun 2016 Tentang Tata Cara Penyelenggaraan KLHS pada pasal 2 ayat 1</w:t>
            </w:r>
          </w:p>
          <w:p>
            <w:pPr>
              <w:numPr>
                <w:ilvl w:val="0"/>
                <w:numId w:val="99"/>
              </w:numPr>
              <w:snapToGrid w:val="0"/>
              <w:spacing w:after="0" w:line="240" w:lineRule="auto"/>
              <w:ind w:left="232" w:hanging="232"/>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PerGub. Sulsel No.17 Tahun 2013 Tentang Izin Pemanfaatan Ruang Pada Kawasan Pusat Bisnis Terpadu Indonesia</w:t>
            </w:r>
          </w:p>
          <w:p>
            <w:pPr>
              <w:numPr>
                <w:ilvl w:val="0"/>
                <w:numId w:val="99"/>
              </w:numPr>
              <w:snapToGrid w:val="0"/>
              <w:spacing w:after="0" w:line="240" w:lineRule="auto"/>
              <w:ind w:left="232" w:hanging="232"/>
              <w:contextualSpacing/>
              <w:rPr>
                <w:rFonts w:ascii="Bookman Old Style" w:hAnsi="Bookman Old Style" w:eastAsia="Times New Roman" w:cs="Times New Roman"/>
                <w:color w:val="000000" w:themeColor="text1"/>
                <w:sz w:val="18"/>
                <w:szCs w:val="18"/>
                <w14:textFill>
                  <w14:solidFill>
                    <w14:schemeClr w14:val="tx1"/>
                  </w14:solidFill>
                </w14:textFill>
              </w:rPr>
            </w:pPr>
            <w:r>
              <w:rPr>
                <w:rFonts w:ascii="Bookman Old Style" w:hAnsi="Bookman Old Style" w:eastAsia="Times New Roman" w:cs="Times New Roman"/>
                <w:color w:val="000000" w:themeColor="text1"/>
                <w:sz w:val="18"/>
                <w:szCs w:val="18"/>
                <w14:textFill>
                  <w14:solidFill>
                    <w14:schemeClr w14:val="tx1"/>
                  </w14:solidFill>
                </w14:textFill>
              </w:rPr>
              <w:t>Perda No 5 Tahun 2012 tentang RTRW</w:t>
            </w:r>
          </w:p>
          <w:p>
            <w:pPr>
              <w:snapToGrid w:val="0"/>
              <w:spacing w:after="0" w:line="240" w:lineRule="auto"/>
              <w:ind w:left="232"/>
              <w:contextualSpacing/>
              <w:rPr>
                <w:rFonts w:ascii="Bookman Old Style" w:hAnsi="Bookman Old Style" w:eastAsia="Times New Roman" w:cs="Times New Roman"/>
                <w:color w:val="000000" w:themeColor="text1"/>
                <w:sz w:val="18"/>
                <w:szCs w:val="18"/>
                <w14:textFill>
                  <w14:solidFill>
                    <w14:schemeClr w14:val="tx1"/>
                  </w14:solidFill>
                </w14:textFill>
              </w:rPr>
            </w:pPr>
          </w:p>
        </w:tc>
      </w:tr>
    </w:tbl>
    <w:p>
      <w:pPr>
        <w:tabs>
          <w:tab w:val="left" w:pos="709"/>
        </w:tabs>
        <w:spacing w:after="0" w:line="360" w:lineRule="auto"/>
        <w:ind w:left="851"/>
        <w:contextualSpacing/>
        <w:jc w:val="both"/>
        <w:rPr>
          <w:rFonts w:ascii="Bookman Old Style" w:hAnsi="Bookman Old Style" w:eastAsia="Times New Roman" w:cs="Tahoma"/>
          <w:b/>
          <w:color w:val="000000" w:themeColor="text1"/>
          <w:sz w:val="8"/>
          <w:szCs w:val="8"/>
          <w:lang w:val="fi-FI"/>
          <w14:textFill>
            <w14:solidFill>
              <w14:schemeClr w14:val="tx1"/>
            </w14:solidFill>
          </w14:textFill>
        </w:rPr>
      </w:pPr>
    </w:p>
    <w:p>
      <w:pPr>
        <w:numPr>
          <w:ilvl w:val="2"/>
          <w:numId w:val="84"/>
        </w:numPr>
        <w:tabs>
          <w:tab w:val="left" w:pos="851"/>
        </w:tabs>
        <w:spacing w:after="0" w:line="360" w:lineRule="auto"/>
        <w:ind w:left="1134" w:hanging="1134"/>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lang w:val="fi-FI"/>
          <w14:textFill>
            <w14:solidFill>
              <w14:schemeClr w14:val="tx1"/>
            </w14:solidFill>
          </w14:textFill>
        </w:rPr>
        <w:t xml:space="preserve">Telaahan </w:t>
      </w:r>
      <w:r>
        <w:rPr>
          <w:rFonts w:ascii="Bookman Old Style" w:hAnsi="Bookman Old Style" w:eastAsia="Times New Roman" w:cs="Times New Roman"/>
          <w:b/>
          <w:sz w:val="24"/>
          <w:szCs w:val="20"/>
        </w:rPr>
        <w:t>Kajian Lingkungan hidup Strategis (KLHS)</w:t>
      </w:r>
    </w:p>
    <w:p>
      <w:pPr>
        <w:spacing w:after="0" w:line="360" w:lineRule="auto"/>
        <w:ind w:left="851" w:firstLine="992"/>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Sedangkan tujuan kajian lingkungan hidup strategis RPJMD adalah untuk memberikan kontribusi perbaikan materi rancangan awal Rencana Pembangunan Jangka Menengah Daerah (RPJMD)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w:t>
      </w:r>
      <w:r>
        <w:rPr>
          <w:rFonts w:ascii="Bookman Old Style" w:hAnsi="Bookman Old Style" w:eastAsia="Times New Roman" w:cs="Times New Roman"/>
          <w:color w:val="000000" w:themeColor="text1"/>
          <w:sz w:val="24"/>
          <w:szCs w:val="20"/>
          <w14:textFill>
            <w14:solidFill>
              <w14:schemeClr w14:val="tx1"/>
            </w14:solidFill>
          </w14:textFill>
        </w:rPr>
        <w:t xml:space="preserve"> melalui:</w:t>
      </w:r>
    </w:p>
    <w:p>
      <w:pPr>
        <w:numPr>
          <w:ilvl w:val="0"/>
          <w:numId w:val="100"/>
        </w:numPr>
        <w:spacing w:after="0" w:line="360" w:lineRule="auto"/>
        <w:ind w:left="1276"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Pengkajian pengaruh rumusan visi, misi, tujuan dan sasaran, strategi dan arah kebijakan, kebijakan umum dan program pembangunan daerah 2021-20</w:t>
      </w:r>
      <w:r>
        <w:rPr>
          <w:rFonts w:ascii="Bookman Old Style" w:hAnsi="Bookman Old Style" w:eastAsia="Times New Roman" w:cs="Times New Roman"/>
          <w:color w:val="000000" w:themeColor="text1"/>
          <w:sz w:val="24"/>
          <w:szCs w:val="20"/>
          <w:lang w:val="id-ID"/>
          <w14:textFill>
            <w14:solidFill>
              <w14:schemeClr w14:val="tx1"/>
            </w14:solidFill>
          </w14:textFill>
        </w:rPr>
        <w:t>2</w:t>
      </w:r>
      <w:r>
        <w:rPr>
          <w:rFonts w:ascii="Bookman Old Style" w:hAnsi="Bookman Old Style" w:eastAsia="Times New Roman" w:cs="Times New Roman"/>
          <w:color w:val="000000" w:themeColor="text1"/>
          <w:sz w:val="24"/>
          <w:szCs w:val="20"/>
          <w14:textFill>
            <w14:solidFill>
              <w14:schemeClr w14:val="tx1"/>
            </w14:solidFill>
          </w14:textFill>
        </w:rPr>
        <w:t>6 terhadap prinsip pembangunan berkelanjutan.</w:t>
      </w:r>
    </w:p>
    <w:p>
      <w:pPr>
        <w:numPr>
          <w:ilvl w:val="0"/>
          <w:numId w:val="100"/>
        </w:numPr>
        <w:spacing w:after="0" w:line="360" w:lineRule="auto"/>
        <w:ind w:left="1276"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Perumusan mitigasi dampak dan/atau alternatif program serta saran penyempurnaan rumusan visi, misi, tujuan dan sasaran, strategi dan arah kebijakan dan kebijakan umum pembangunan jangka menengah periode tahun 2021-20</w:t>
      </w:r>
      <w:r>
        <w:rPr>
          <w:rFonts w:ascii="Bookman Old Style" w:hAnsi="Bookman Old Style" w:eastAsia="Times New Roman" w:cs="Times New Roman"/>
          <w:color w:val="000000" w:themeColor="text1"/>
          <w:sz w:val="24"/>
          <w:szCs w:val="20"/>
          <w:lang w:val="id-ID"/>
          <w14:textFill>
            <w14:solidFill>
              <w14:schemeClr w14:val="tx1"/>
            </w14:solidFill>
          </w14:textFill>
        </w:rPr>
        <w:t>2</w:t>
      </w:r>
      <w:r>
        <w:rPr>
          <w:rFonts w:ascii="Bookman Old Style" w:hAnsi="Bookman Old Style" w:eastAsia="Times New Roman" w:cs="Times New Roman"/>
          <w:color w:val="000000" w:themeColor="text1"/>
          <w:sz w:val="24"/>
          <w:szCs w:val="20"/>
          <w14:textFill>
            <w14:solidFill>
              <w14:schemeClr w14:val="tx1"/>
            </w14:solidFill>
          </w14:textFill>
        </w:rPr>
        <w:t>6.</w:t>
      </w:r>
    </w:p>
    <w:p>
      <w:pPr>
        <w:numPr>
          <w:ilvl w:val="0"/>
          <w:numId w:val="100"/>
        </w:numPr>
        <w:spacing w:after="0" w:line="360" w:lineRule="auto"/>
        <w:ind w:left="1276"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Pengintegrasian rekomendasi ke dalam rancangan awal RPJMD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 tahun 20</w:t>
      </w:r>
      <w:r>
        <w:rPr>
          <w:rFonts w:ascii="Bookman Old Style" w:hAnsi="Bookman Old Style" w:eastAsia="Times New Roman" w:cs="Times New Roman"/>
          <w:color w:val="000000" w:themeColor="text1"/>
          <w:sz w:val="24"/>
          <w:szCs w:val="20"/>
          <w14:textFill>
            <w14:solidFill>
              <w14:schemeClr w14:val="tx1"/>
            </w14:solidFill>
          </w14:textFill>
        </w:rPr>
        <w:t>2</w:t>
      </w:r>
      <w:r>
        <w:rPr>
          <w:rFonts w:ascii="Bookman Old Style" w:hAnsi="Bookman Old Style" w:eastAsia="Times New Roman" w:cs="Times New Roman"/>
          <w:color w:val="000000" w:themeColor="text1"/>
          <w:sz w:val="24"/>
          <w:szCs w:val="20"/>
          <w:lang w:val="id-ID"/>
          <w14:textFill>
            <w14:solidFill>
              <w14:schemeClr w14:val="tx1"/>
            </w14:solidFill>
          </w14:textFill>
        </w:rPr>
        <w:t>1-202</w:t>
      </w:r>
      <w:r>
        <w:rPr>
          <w:rFonts w:ascii="Bookman Old Style" w:hAnsi="Bookman Old Style" w:eastAsia="Times New Roman" w:cs="Times New Roman"/>
          <w:color w:val="000000" w:themeColor="text1"/>
          <w:sz w:val="24"/>
          <w:szCs w:val="20"/>
          <w14:textFill>
            <w14:solidFill>
              <w14:schemeClr w14:val="tx1"/>
            </w14:solidFill>
          </w14:textFill>
        </w:rPr>
        <w:t>6.</w:t>
      </w:r>
    </w:p>
    <w:p>
      <w:pPr>
        <w:numPr>
          <w:ilvl w:val="0"/>
          <w:numId w:val="100"/>
        </w:numPr>
        <w:spacing w:after="0" w:line="360" w:lineRule="auto"/>
        <w:ind w:left="1276" w:hanging="425"/>
        <w:contextualSpacing/>
        <w:jc w:val="both"/>
        <w:rPr>
          <w:rFonts w:ascii="Bookman Old Style" w:hAnsi="Bookman Old Style" w:eastAsia="Times New Roman" w:cs="Times New Roman"/>
          <w:color w:val="000000" w:themeColor="text1"/>
          <w:sz w:val="24"/>
          <w:szCs w:val="20"/>
          <w14:textFill>
            <w14:solidFill>
              <w14:schemeClr w14:val="tx1"/>
            </w14:solidFill>
          </w14:textFill>
        </w:rPr>
      </w:pPr>
      <w:r>
        <w:rPr>
          <w:rFonts w:ascii="Bookman Old Style" w:hAnsi="Bookman Old Style" w:eastAsia="Times New Roman" w:cs="Times New Roman"/>
          <w:color w:val="000000" w:themeColor="text1"/>
          <w:sz w:val="24"/>
          <w:szCs w:val="20"/>
          <w14:textFill>
            <w14:solidFill>
              <w14:schemeClr w14:val="tx1"/>
            </w14:solidFill>
          </w14:textFill>
        </w:rPr>
        <w:t xml:space="preserve">Peningkatkan kapasitas perencana pembangunan daerah </w:t>
      </w:r>
      <w:r>
        <w:rPr>
          <w:rFonts w:ascii="Bookman Old Style" w:hAnsi="Bookman Old Style" w:eastAsia="Times New Roman" w:cs="Times New Roman"/>
          <w:color w:val="000000" w:themeColor="text1"/>
          <w:sz w:val="24"/>
          <w:szCs w:val="20"/>
          <w:lang w:val="id-ID"/>
          <w14:textFill>
            <w14:solidFill>
              <w14:schemeClr w14:val="tx1"/>
            </w14:solidFill>
          </w14:textFill>
        </w:rPr>
        <w:t>Kabupaten Kepulauan Selayar</w:t>
      </w:r>
      <w:r>
        <w:rPr>
          <w:rFonts w:ascii="Bookman Old Style" w:hAnsi="Bookman Old Style" w:eastAsia="Times New Roman" w:cs="Times New Roman"/>
          <w:color w:val="000000" w:themeColor="text1"/>
          <w:sz w:val="24"/>
          <w:szCs w:val="20"/>
          <w14:textFill>
            <w14:solidFill>
              <w14:schemeClr w14:val="tx1"/>
            </w14:solidFill>
          </w14:textFill>
        </w:rPr>
        <w:t xml:space="preserve"> dalam melaksanakan KLHS.</w:t>
      </w:r>
    </w:p>
    <w:p>
      <w:pPr>
        <w:spacing w:after="0" w:line="360" w:lineRule="auto"/>
        <w:ind w:left="851" w:firstLine="992"/>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Berdasarkan Kajian KLHS Strategis RPJMD, maka diperoleh beberapa rekomendasi yang harus diintegrasikan dalam penyusunan RPJMD dan RENSTRA OPD. Adapun rekomendasinya adalah :</w:t>
      </w:r>
    </w:p>
    <w:p>
      <w:pPr>
        <w:numPr>
          <w:ilvl w:val="0"/>
          <w:numId w:val="101"/>
        </w:numPr>
        <w:spacing w:after="0" w:line="360" w:lineRule="auto"/>
        <w:ind w:left="1276" w:hanging="425"/>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4"/>
        </w:rPr>
        <w:t>Penumbuhan dan pengembangan Sektor Perdagangan dan sektor KUKM</w:t>
      </w:r>
    </w:p>
    <w:p>
      <w:pPr>
        <w:numPr>
          <w:ilvl w:val="0"/>
          <w:numId w:val="101"/>
        </w:numPr>
        <w:spacing w:after="0" w:line="360" w:lineRule="auto"/>
        <w:ind w:left="1418" w:hanging="567"/>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4"/>
        </w:rPr>
        <w:t>Percepatan penyebaran dan pemerataan pembangunan Sektor Perdagangan dan Sektor KUKM</w:t>
      </w:r>
    </w:p>
    <w:p>
      <w:pPr>
        <w:numPr>
          <w:ilvl w:val="1"/>
          <w:numId w:val="84"/>
        </w:numPr>
        <w:tabs>
          <w:tab w:val="left" w:pos="709"/>
        </w:tabs>
        <w:spacing w:after="0" w:line="360" w:lineRule="auto"/>
        <w:ind w:left="709" w:hanging="709"/>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Penentuan Isu-Isu Strategis </w:t>
      </w:r>
    </w:p>
    <w:p>
      <w:pPr>
        <w:tabs>
          <w:tab w:val="left" w:pos="1701"/>
        </w:tabs>
        <w:autoSpaceDE w:val="0"/>
        <w:autoSpaceDN w:val="0"/>
        <w:adjustRightInd w:val="0"/>
        <w:spacing w:before="240" w:after="0" w:line="360" w:lineRule="auto"/>
        <w:ind w:left="709" w:firstLine="11"/>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Isu-isu strategis berdasarkan tugas dan fungsi OPD adalah kondisi atau hal yang harus diperhatikan atau dikedepankan dalam perencanaan pembangunan karena dampaknya yang signifikan bagi OPD dimasa datang. Suatu kondisi/kejadian yang menjadi isu trategis adalah keadaan yang apabila tidak diantisipasi, akan menimbulkan kerugian yang lebih besar atau sebaliknya, dalam hal tidak dimanfaatkan, akan menghilangkan peluang untuk meningkatkan layanan kepada masyarakat dalam jangka panjang. Suatu isu strategis bagi OPD diperoleh baik berasal dari analisis internal berupa identifikasi permasalahan pembangunan maupun analisis eksternal berupa kondisi yang menciptakan peluang dan ancaman bagi OPD di masa lima tahun mendatang.</w:t>
      </w:r>
    </w:p>
    <w:p>
      <w:pPr>
        <w:tabs>
          <w:tab w:val="left" w:pos="1418"/>
        </w:tabs>
        <w:autoSpaceDE w:val="0"/>
        <w:autoSpaceDN w:val="0"/>
        <w:adjustRightInd w:val="0"/>
        <w:spacing w:after="0" w:line="360" w:lineRule="auto"/>
        <w:ind w:left="709" w:firstLine="11"/>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Setelah direview kembali faktor-faktor dari pelayanan Dinas Perdagangan, Koperasi dan Usaha Kecil dan Menengah Kabupaten Kepulauan Selayar yang mempengaruhi permasalahan pelayanan, ditentukan isu-isu strategis :</w:t>
      </w:r>
    </w:p>
    <w:p>
      <w:pPr>
        <w:tabs>
          <w:tab w:val="left" w:pos="1701"/>
        </w:tabs>
        <w:autoSpaceDE w:val="0"/>
        <w:autoSpaceDN w:val="0"/>
        <w:adjustRightInd w:val="0"/>
        <w:spacing w:before="240" w:after="0" w:line="240" w:lineRule="auto"/>
        <w:ind w:left="709" w:firstLine="11"/>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Urusan Wajib Pelayanan Dasar </w:t>
      </w:r>
    </w:p>
    <w:p>
      <w:pPr>
        <w:tabs>
          <w:tab w:val="left" w:pos="1701"/>
        </w:tabs>
        <w:autoSpaceDE w:val="0"/>
        <w:autoSpaceDN w:val="0"/>
        <w:adjustRightInd w:val="0"/>
        <w:spacing w:before="240" w:after="0" w:line="240" w:lineRule="auto"/>
        <w:ind w:left="709" w:firstLine="11"/>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Urusan Koperasi dan UKM </w:t>
      </w:r>
    </w:p>
    <w:p>
      <w:pPr>
        <w:numPr>
          <w:ilvl w:val="0"/>
          <w:numId w:val="102"/>
        </w:numPr>
        <w:tabs>
          <w:tab w:val="left" w:pos="1701"/>
        </w:tabs>
        <w:autoSpaceDE w:val="0"/>
        <w:autoSpaceDN w:val="0"/>
        <w:adjustRightInd w:val="0"/>
        <w:spacing w:before="240" w:after="0" w:line="360" w:lineRule="auto"/>
        <w:ind w:left="1080" w:hanging="36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Peningkatan pelaksanaan penyuluhan, pembinaan dan pelatihan kepada Koperasi yang kondisinya sudah tidak sehat. Peningkatan anggaran pembinaan baik ke APBD Provinsi maupun APBN dengan mengefektifkan penggunaan anggaran dalam setiap pelaksanaan kegiatan dengan </w:t>
      </w:r>
      <w:r>
        <w:rPr>
          <w:rFonts w:ascii="Bookman Old Style" w:hAnsi="Bookman Old Style" w:eastAsia="Times New Roman" w:cs="Times New Roman"/>
          <w:sz w:val="24"/>
          <w:szCs w:val="20"/>
        </w:rPr>
        <w:t>mengupayakan modal Anggaran untuk Pengembangan Tehnologi Informasi (TI), SDM dan Adanya Aplikasi TI yang sesuai dengan kebutuhan budaya/ Karateristik UMKM sehingga informasi yang menunjang kegiatan usaha baik berupa informasi pasar maupun informasi mengenai desain kemasan untuk produk /jasa dapat terpenuhi.</w:t>
      </w:r>
    </w:p>
    <w:p>
      <w:pPr>
        <w:numPr>
          <w:ilvl w:val="0"/>
          <w:numId w:val="102"/>
        </w:numPr>
        <w:tabs>
          <w:tab w:val="left" w:pos="1701"/>
        </w:tabs>
        <w:autoSpaceDE w:val="0"/>
        <w:autoSpaceDN w:val="0"/>
        <w:adjustRightInd w:val="0"/>
        <w:spacing w:before="240" w:after="0" w:line="360" w:lineRule="auto"/>
        <w:ind w:left="1080" w:hanging="360"/>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Peningkatan akses pelaku usaha Koperasi dan UMKM terhadap layanan perbankan dengan m</w:t>
      </w:r>
      <w:r>
        <w:rPr>
          <w:rFonts w:ascii="Bookman Old Style" w:hAnsi="Bookman Old Style" w:eastAsia="Times New Roman" w:cs="Times New Roman"/>
          <w:sz w:val="24"/>
          <w:szCs w:val="20"/>
        </w:rPr>
        <w:t>engupayakan mengembangkan usaha para pelaku KMKM dengan memberikan Kewirausahaan kepada pelaku melalui bantuan teknis mulai dari produksi, pembukuan keuangan hingga pemasaran serta mendorong UMKM untuk menggunakan layanan digital atau digitalisasi</w:t>
      </w:r>
    </w:p>
    <w:p>
      <w:pPr>
        <w:numPr>
          <w:ilvl w:val="0"/>
          <w:numId w:val="102"/>
        </w:numPr>
        <w:spacing w:line="360" w:lineRule="auto"/>
        <w:ind w:left="1080" w:hanging="360"/>
        <w:contextualSpacing/>
        <w:jc w:val="both"/>
        <w:rPr>
          <w:rFonts w:ascii="Bookman Old Style" w:hAnsi="Bookman Old Style" w:eastAsia="Times New Roman" w:cs="Times New Roman"/>
          <w:szCs w:val="20"/>
        </w:rPr>
      </w:pPr>
      <w:r>
        <w:rPr>
          <w:rFonts w:ascii="Bookman Old Style" w:hAnsi="Bookman Old Style" w:eastAsia="Times New Roman" w:cs="Times New Roman"/>
          <w:sz w:val="24"/>
          <w:szCs w:val="20"/>
        </w:rPr>
        <w:t>Peningkatan Pencapaian koperasi yang sehat jika koperasi mempunyai kemampuan finansial, management dan mampu memberikan fasilitas permodalan serta UMKM berbasis Kreativitas yang sesuai dukungan pemerintah melalui PP No. 6 thn 2006 tentang pengembangan ekonomi kreatif. Dengan menyiapkan Tenaga Kerja terampil dan berkualitas diantaranya Akuntan yang ahli dibidangnya, kerjasama antara pendidikan akademik untuk mencapai standar dan kompetisi yang di butuhkan.</w:t>
      </w:r>
    </w:p>
    <w:p>
      <w:pPr>
        <w:numPr>
          <w:ilvl w:val="0"/>
          <w:numId w:val="102"/>
        </w:numPr>
        <w:spacing w:line="360" w:lineRule="auto"/>
        <w:ind w:left="1080"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Peningkatan strategi pemetaan product, Price,Place,Promotion dalam bisnis UMKM sesuai dengan kebutuhan yang diinginkan oleh semua konsumen atau selera pasar </w:t>
      </w:r>
    </w:p>
    <w:p>
      <w:pPr>
        <w:numPr>
          <w:ilvl w:val="0"/>
          <w:numId w:val="102"/>
        </w:numPr>
        <w:spacing w:line="360" w:lineRule="auto"/>
        <w:ind w:left="1080" w:hanging="360"/>
        <w:contextualSpacing/>
        <w:jc w:val="both"/>
        <w:rPr>
          <w:rFonts w:ascii="Bookman Old Style" w:hAnsi="Bookman Old Style" w:eastAsia="Times New Roman" w:cs="Times New Roman"/>
          <w:sz w:val="24"/>
          <w:szCs w:val="20"/>
        </w:rPr>
      </w:pPr>
      <w:r>
        <w:rPr>
          <w:rFonts w:ascii="Bookman Old Style" w:hAnsi="Bookman Old Style" w:eastAsia="Times New Roman" w:cs="Times New Roman"/>
          <w:sz w:val="24"/>
          <w:szCs w:val="20"/>
        </w:rPr>
        <w:t xml:space="preserve">Peningkatan jaringan distribusi barang dan jasa melalui kapal muat  container selayar ke surabaya dan ke kota lainnya </w:t>
      </w:r>
      <w:r>
        <w:rPr>
          <w:rFonts w:ascii="Bookman Old Style" w:hAnsi="Bookman Old Style" w:eastAsia="Times New Roman" w:cs="Tahoma"/>
          <w:color w:val="000000" w:themeColor="text1"/>
          <w:sz w:val="24"/>
          <w:szCs w:val="24"/>
          <w:lang w:val="es-ES"/>
          <w14:textFill>
            <w14:solidFill>
              <w14:schemeClr w14:val="tx1"/>
            </w14:solidFill>
          </w14:textFill>
        </w:rPr>
        <w:t xml:space="preserve">mempunyai </w:t>
      </w:r>
    </w:p>
    <w:p>
      <w:pPr>
        <w:spacing w:line="360" w:lineRule="auto"/>
        <w:ind w:left="1080"/>
        <w:contextualSpacing/>
        <w:jc w:val="both"/>
        <w:rPr>
          <w:rFonts w:ascii="Bookman Old Style" w:hAnsi="Bookman Old Style" w:eastAsia="Times New Roman" w:cs="Times New Roman"/>
          <w:sz w:val="24"/>
          <w:szCs w:val="20"/>
        </w:rPr>
      </w:pPr>
      <w:r>
        <w:rPr>
          <w:rFonts w:ascii="Bookman Old Style" w:hAnsi="Bookman Old Style" w:eastAsia="Times New Roman" w:cs="Tahoma"/>
          <w:color w:val="000000" w:themeColor="text1"/>
          <w:sz w:val="24"/>
          <w:szCs w:val="24"/>
          <w:lang w:val="es-ES"/>
          <w14:textFill>
            <w14:solidFill>
              <w14:schemeClr w14:val="tx1"/>
            </w14:solidFill>
          </w14:textFill>
        </w:rPr>
        <w:t>potensi yang cukup besar dalam mendukung visi bupati sebagai bandar maritim</w:t>
      </w:r>
    </w:p>
    <w:p>
      <w:pPr>
        <w:numPr>
          <w:ilvl w:val="0"/>
          <w:numId w:val="102"/>
        </w:numPr>
        <w:tabs>
          <w:tab w:val="left" w:pos="1701"/>
        </w:tabs>
        <w:autoSpaceDE w:val="0"/>
        <w:autoSpaceDN w:val="0"/>
        <w:adjustRightInd w:val="0"/>
        <w:spacing w:before="240" w:after="0" w:line="360" w:lineRule="auto"/>
        <w:ind w:left="1080" w:hanging="371"/>
        <w:contextualSpacing/>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imes New Roman"/>
          <w:sz w:val="24"/>
          <w:szCs w:val="20"/>
        </w:rPr>
        <w:t xml:space="preserve">Pembentukan kebijakan yang bisa dilakukan untuk mempercepat UMKM naik kelas yaitu adanya Perizinan sehingga UMKM mampu merambah pasarnya ke skala nsional bahkan ekspor </w:t>
      </w:r>
    </w:p>
    <w:p>
      <w:pPr>
        <w:tabs>
          <w:tab w:val="left" w:pos="1701"/>
        </w:tabs>
        <w:autoSpaceDE w:val="0"/>
        <w:autoSpaceDN w:val="0"/>
        <w:adjustRightInd w:val="0"/>
        <w:spacing w:before="120" w:after="0" w:line="240" w:lineRule="auto"/>
        <w:ind w:left="709" w:firstLine="11"/>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Urusan Pemerintahan Pilihan</w:t>
      </w:r>
    </w:p>
    <w:p>
      <w:pPr>
        <w:tabs>
          <w:tab w:val="left" w:pos="1701"/>
        </w:tabs>
        <w:autoSpaceDE w:val="0"/>
        <w:autoSpaceDN w:val="0"/>
        <w:adjustRightInd w:val="0"/>
        <w:spacing w:before="120" w:after="0" w:line="360" w:lineRule="auto"/>
        <w:ind w:left="709" w:firstLine="11"/>
        <w:jc w:val="both"/>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Urusan Perdagangan</w:t>
      </w:r>
    </w:p>
    <w:p>
      <w:pPr>
        <w:numPr>
          <w:ilvl w:val="0"/>
          <w:numId w:val="103"/>
        </w:numPr>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Percepatan pengembangan kawasan distribusi logistik di kawasan timur Indonesia khususnya di Kabupaten Kepulauan Selayar. </w:t>
      </w:r>
    </w:p>
    <w:p>
      <w:pPr>
        <w:numPr>
          <w:ilvl w:val="0"/>
          <w:numId w:val="103"/>
        </w:numPr>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Peningkatan diaspek inovasi dan diversifikasi produk agar mendorong  UKM yang tidak kalah bersaing dan berkembang dengan inovasi produk yang baru dan sesuai dengan selera pasar </w:t>
      </w:r>
    </w:p>
    <w:p>
      <w:pPr>
        <w:numPr>
          <w:ilvl w:val="0"/>
          <w:numId w:val="103"/>
        </w:numPr>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Peningkatan kontribusi perdagangan terhadap PDRB.</w:t>
      </w:r>
    </w:p>
    <w:p>
      <w:pPr>
        <w:numPr>
          <w:ilvl w:val="0"/>
          <w:numId w:val="103"/>
        </w:numPr>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Perlindungan konsumen dalam upaya ketetapan UTTP.</w:t>
      </w:r>
    </w:p>
    <w:p>
      <w:pPr>
        <w:numPr>
          <w:ilvl w:val="0"/>
          <w:numId w:val="103"/>
        </w:numPr>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 xml:space="preserve">Perluasan jaringan pemasaran dengan memanfaatkan jaringan distribusi logistik </w:t>
      </w:r>
      <w:r>
        <w:rPr>
          <w:rFonts w:ascii="Bookman Old Style" w:hAnsi="Bookman Old Style" w:eastAsia="Times New Roman" w:cs="Tahoma"/>
          <w:color w:val="000000" w:themeColor="text1"/>
          <w:sz w:val="24"/>
          <w:szCs w:val="24"/>
          <w:lang w:val="es-ES"/>
          <w14:textFill>
            <w14:solidFill>
              <w14:schemeClr w14:val="tx1"/>
            </w14:solidFill>
          </w14:textFill>
        </w:rPr>
        <w:t>yang berpotensi cukup besar dalam mendukung visi bupati sebagai bandar maritim.</w:t>
      </w:r>
    </w:p>
    <w:p>
      <w:pPr>
        <w:numPr>
          <w:ilvl w:val="0"/>
          <w:numId w:val="103"/>
        </w:numPr>
        <w:tabs>
          <w:tab w:val="left" w:pos="1134"/>
        </w:tabs>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Peningkatan produk-produk unggulan yang dipromosikan dengan mengutamakan komoditi ekspor agar investor dapat membuka peluang lapangan usaha bagi msyarakat,</w:t>
      </w:r>
    </w:p>
    <w:p>
      <w:pPr>
        <w:numPr>
          <w:ilvl w:val="0"/>
          <w:numId w:val="103"/>
        </w:numPr>
        <w:tabs>
          <w:tab w:val="left" w:pos="1134"/>
        </w:tabs>
        <w:autoSpaceDE w:val="0"/>
        <w:autoSpaceDN w:val="0"/>
        <w:adjustRightInd w:val="0"/>
        <w:spacing w:after="0" w:line="360" w:lineRule="auto"/>
        <w:ind w:left="1204" w:hanging="495"/>
        <w:contextualSpacing/>
        <w:jc w:val="both"/>
        <w:rPr>
          <w:rFonts w:ascii="Bookman Old Style" w:hAnsi="Bookman Old Style" w:eastAsia="Times New Roman" w:cs="Tahoma"/>
          <w:bCs/>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sz w:val="24"/>
          <w:szCs w:val="24"/>
          <w14:textFill>
            <w14:solidFill>
              <w14:schemeClr w14:val="tx1"/>
            </w14:solidFill>
          </w14:textFill>
        </w:rPr>
        <w:t>Sigernitas pemerintah pusat dan daerah.</w:t>
      </w:r>
    </w:p>
    <w:p>
      <w:pPr>
        <w:tabs>
          <w:tab w:val="left" w:pos="1134"/>
        </w:tabs>
        <w:autoSpaceDE w:val="0"/>
        <w:autoSpaceDN w:val="0"/>
        <w:adjustRightInd w:val="0"/>
        <w:spacing w:after="0" w:line="360" w:lineRule="auto"/>
        <w:jc w:val="both"/>
        <w:rPr>
          <w:rFonts w:ascii="Bookman Old Style" w:hAnsi="Bookman Old Style" w:eastAsia="Times New Roman" w:cs="Tahoma"/>
          <w:bCs/>
          <w:color w:val="000000" w:themeColor="text1"/>
          <w:sz w:val="24"/>
          <w:szCs w:val="24"/>
          <w14:textFill>
            <w14:solidFill>
              <w14:schemeClr w14:val="tx1"/>
            </w14:solidFill>
          </w14:textFill>
        </w:rPr>
      </w:pPr>
    </w:p>
    <w:p>
      <w:pPr>
        <w:spacing w:after="0" w:line="240" w:lineRule="auto"/>
        <w:ind w:firstLine="720"/>
        <w:jc w:val="center"/>
        <w:rPr>
          <w:rFonts w:ascii="Bookman Old Style" w:hAnsi="Bookman Old Style" w:eastAsia="Times New Roman" w:cs="Times New Roman"/>
          <w:sz w:val="24"/>
          <w:szCs w:val="20"/>
        </w:rPr>
      </w:pPr>
      <w:r>
        <w:rPr>
          <w:rFonts w:ascii="Bookman Old Style" w:hAnsi="Bookman Old Style" w:eastAsia="Times New Roman" w:cs="Times New Roman"/>
          <w:sz w:val="24"/>
          <w:szCs w:val="20"/>
          <w:lang w:val="sv-SE"/>
        </w:rPr>
        <w:t xml:space="preserve">      Tabel 3.</w:t>
      </w:r>
      <w:r>
        <w:rPr>
          <w:rFonts w:ascii="Bookman Old Style" w:hAnsi="Bookman Old Style" w:eastAsia="Times New Roman" w:cs="Times New Roman"/>
          <w:sz w:val="24"/>
          <w:szCs w:val="20"/>
        </w:rPr>
        <w:t>4.2.1</w:t>
      </w:r>
    </w:p>
    <w:p>
      <w:pPr>
        <w:spacing w:after="0" w:line="240" w:lineRule="auto"/>
        <w:ind w:left="426" w:firstLine="720"/>
        <w:jc w:val="center"/>
        <w:rPr>
          <w:rFonts w:ascii="Bookman Old Style" w:hAnsi="Bookman Old Style" w:eastAsia="Times New Roman" w:cs="Times New Roman"/>
          <w:sz w:val="24"/>
          <w:szCs w:val="20"/>
          <w:lang w:val="sv-SE"/>
        </w:rPr>
      </w:pPr>
      <w:r>
        <w:rPr>
          <w:rFonts w:ascii="Bookman Old Style" w:hAnsi="Bookman Old Style" w:eastAsia="Times New Roman" w:cs="Times New Roman"/>
          <w:sz w:val="24"/>
          <w:szCs w:val="20"/>
          <w:lang w:val="sv-SE"/>
        </w:rPr>
        <w:t>Nilai Skala Kriteria</w:t>
      </w:r>
    </w:p>
    <w:tbl>
      <w:tblPr>
        <w:tblStyle w:val="4"/>
        <w:tblW w:w="9623" w:type="dxa"/>
        <w:tblInd w:w="108" w:type="dxa"/>
        <w:tblLayout w:type="autofit"/>
        <w:tblCellMar>
          <w:top w:w="0" w:type="dxa"/>
          <w:left w:w="108" w:type="dxa"/>
          <w:bottom w:w="0" w:type="dxa"/>
          <w:right w:w="108" w:type="dxa"/>
        </w:tblCellMar>
      </w:tblPr>
      <w:tblGrid>
        <w:gridCol w:w="434"/>
        <w:gridCol w:w="5662"/>
        <w:gridCol w:w="478"/>
        <w:gridCol w:w="480"/>
        <w:gridCol w:w="480"/>
        <w:gridCol w:w="480"/>
        <w:gridCol w:w="480"/>
        <w:gridCol w:w="480"/>
        <w:gridCol w:w="649"/>
      </w:tblGrid>
      <w:tr>
        <w:tblPrEx>
          <w:tblCellMar>
            <w:top w:w="0" w:type="dxa"/>
            <w:left w:w="108" w:type="dxa"/>
            <w:bottom w:w="0" w:type="dxa"/>
            <w:right w:w="108" w:type="dxa"/>
          </w:tblCellMar>
        </w:tblPrEx>
        <w:trPr>
          <w:trHeight w:val="225" w:hRule="atLeast"/>
        </w:trPr>
        <w:tc>
          <w:tcPr>
            <w:tcW w:w="434" w:type="dxa"/>
            <w:vMerge w:val="restart"/>
            <w:tcBorders>
              <w:top w:val="double" w:color="auto" w:sz="6" w:space="0"/>
              <w:left w:val="double" w:color="auto" w:sz="6"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No</w:t>
            </w:r>
          </w:p>
        </w:tc>
        <w:tc>
          <w:tcPr>
            <w:tcW w:w="5662" w:type="dxa"/>
            <w:vMerge w:val="restart"/>
            <w:tcBorders>
              <w:top w:val="double" w:color="auto" w:sz="6" w:space="0"/>
              <w:left w:val="single" w:color="auto" w:sz="4" w:space="0"/>
              <w:bottom w:val="single" w:color="000000" w:sz="4" w:space="0"/>
              <w:right w:val="single" w:color="auto" w:sz="4"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Isu Strategis</w:t>
            </w:r>
          </w:p>
        </w:tc>
        <w:tc>
          <w:tcPr>
            <w:tcW w:w="2878" w:type="dxa"/>
            <w:gridSpan w:val="6"/>
            <w:tcBorders>
              <w:top w:val="double" w:color="auto" w:sz="6" w:space="0"/>
              <w:left w:val="nil"/>
              <w:bottom w:val="single" w:color="auto" w:sz="4" w:space="0"/>
              <w:right w:val="nil"/>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Nilai Skala Kriteria</w:t>
            </w:r>
          </w:p>
        </w:tc>
        <w:tc>
          <w:tcPr>
            <w:tcW w:w="649" w:type="dxa"/>
            <w:vMerge w:val="restart"/>
            <w:tcBorders>
              <w:top w:val="double" w:color="auto" w:sz="6" w:space="0"/>
              <w:left w:val="single" w:color="auto" w:sz="4" w:space="0"/>
              <w:bottom w:val="single" w:color="000000" w:sz="4" w:space="0"/>
              <w:right w:val="double" w:color="auto" w:sz="6" w:space="0"/>
            </w:tcBorders>
            <w:shd w:val="clear" w:color="auto" w:fill="E5B8B7"/>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Total Skor</w:t>
            </w:r>
          </w:p>
        </w:tc>
      </w:tr>
      <w:tr>
        <w:tblPrEx>
          <w:tblCellMar>
            <w:top w:w="0" w:type="dxa"/>
            <w:left w:w="108" w:type="dxa"/>
            <w:bottom w:w="0" w:type="dxa"/>
            <w:right w:w="108" w:type="dxa"/>
          </w:tblCellMar>
        </w:tblPrEx>
        <w:trPr>
          <w:trHeight w:val="210" w:hRule="atLeast"/>
        </w:trPr>
        <w:tc>
          <w:tcPr>
            <w:tcW w:w="434" w:type="dxa"/>
            <w:vMerge w:val="continue"/>
            <w:tcBorders>
              <w:top w:val="double" w:color="auto" w:sz="6" w:space="0"/>
              <w:left w:val="double" w:color="auto" w:sz="6" w:space="0"/>
              <w:bottom w:val="single" w:color="000000" w:sz="4" w:space="0"/>
              <w:right w:val="single" w:color="auto" w:sz="4" w:space="0"/>
            </w:tcBorders>
            <w:vAlign w:val="center"/>
          </w:tcPr>
          <w:p>
            <w:pPr>
              <w:spacing w:after="0" w:line="240" w:lineRule="auto"/>
              <w:rPr>
                <w:rFonts w:ascii="Bookman Old Style" w:hAnsi="Bookman Old Style" w:eastAsia="Times New Roman" w:cs="Calibri"/>
                <w:b/>
                <w:bCs/>
                <w:color w:val="000000"/>
                <w:sz w:val="16"/>
                <w:szCs w:val="16"/>
              </w:rPr>
            </w:pPr>
          </w:p>
        </w:tc>
        <w:tc>
          <w:tcPr>
            <w:tcW w:w="5662" w:type="dxa"/>
            <w:vMerge w:val="continue"/>
            <w:tcBorders>
              <w:top w:val="double" w:color="auto" w:sz="6" w:space="0"/>
              <w:left w:val="single" w:color="auto" w:sz="4" w:space="0"/>
              <w:bottom w:val="single" w:color="000000" w:sz="4" w:space="0"/>
              <w:right w:val="single" w:color="auto" w:sz="4" w:space="0"/>
            </w:tcBorders>
            <w:vAlign w:val="center"/>
          </w:tcPr>
          <w:p>
            <w:pPr>
              <w:spacing w:after="0" w:line="240" w:lineRule="auto"/>
              <w:rPr>
                <w:rFonts w:ascii="Bookman Old Style" w:hAnsi="Bookman Old Style" w:eastAsia="Times New Roman" w:cs="Calibri"/>
                <w:b/>
                <w:bCs/>
                <w:color w:val="000000"/>
                <w:sz w:val="16"/>
                <w:szCs w:val="16"/>
              </w:rPr>
            </w:pPr>
          </w:p>
        </w:tc>
        <w:tc>
          <w:tcPr>
            <w:tcW w:w="478"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1</w:t>
            </w:r>
          </w:p>
        </w:tc>
        <w:tc>
          <w:tcPr>
            <w:tcW w:w="480"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2</w:t>
            </w:r>
          </w:p>
        </w:tc>
        <w:tc>
          <w:tcPr>
            <w:tcW w:w="480"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3</w:t>
            </w:r>
          </w:p>
        </w:tc>
        <w:tc>
          <w:tcPr>
            <w:tcW w:w="480"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4</w:t>
            </w:r>
          </w:p>
        </w:tc>
        <w:tc>
          <w:tcPr>
            <w:tcW w:w="480"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5</w:t>
            </w:r>
          </w:p>
        </w:tc>
        <w:tc>
          <w:tcPr>
            <w:tcW w:w="480" w:type="dxa"/>
            <w:tcBorders>
              <w:top w:val="nil"/>
              <w:left w:val="nil"/>
              <w:bottom w:val="single" w:color="auto" w:sz="4" w:space="0"/>
              <w:right w:val="single" w:color="auto" w:sz="4" w:space="0"/>
            </w:tcBorders>
            <w:shd w:val="clear" w:color="auto" w:fill="E5B8B7"/>
            <w:noWrap/>
            <w:vAlign w:val="center"/>
          </w:tcPr>
          <w:p>
            <w:pPr>
              <w:spacing w:after="0" w:line="240" w:lineRule="auto"/>
              <w:jc w:val="center"/>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6</w:t>
            </w:r>
          </w:p>
        </w:tc>
        <w:tc>
          <w:tcPr>
            <w:tcW w:w="649" w:type="dxa"/>
            <w:vMerge w:val="continue"/>
            <w:tcBorders>
              <w:top w:val="double" w:color="auto" w:sz="6" w:space="0"/>
              <w:left w:val="single" w:color="auto" w:sz="4" w:space="0"/>
              <w:bottom w:val="single" w:color="000000" w:sz="4" w:space="0"/>
              <w:right w:val="double" w:color="auto" w:sz="6" w:space="0"/>
            </w:tcBorders>
            <w:vAlign w:val="center"/>
          </w:tcPr>
          <w:p>
            <w:pPr>
              <w:spacing w:after="0" w:line="240" w:lineRule="auto"/>
              <w:rPr>
                <w:rFonts w:ascii="Bookman Old Style" w:hAnsi="Bookman Old Style" w:eastAsia="Times New Roman" w:cs="Calibri"/>
                <w:b/>
                <w:bCs/>
                <w:color w:val="000000"/>
                <w:sz w:val="16"/>
                <w:szCs w:val="16"/>
              </w:rPr>
            </w:pPr>
          </w:p>
        </w:tc>
      </w:tr>
      <w:tr>
        <w:tblPrEx>
          <w:tblCellMar>
            <w:top w:w="0" w:type="dxa"/>
            <w:left w:w="108" w:type="dxa"/>
            <w:bottom w:w="0" w:type="dxa"/>
            <w:right w:w="108" w:type="dxa"/>
          </w:tblCellMar>
        </w:tblPrEx>
        <w:trPr>
          <w:trHeight w:val="240" w:hRule="atLeast"/>
        </w:trPr>
        <w:tc>
          <w:tcPr>
            <w:tcW w:w="434" w:type="dxa"/>
            <w:tcBorders>
              <w:top w:val="nil"/>
              <w:left w:val="double" w:color="auto" w:sz="6" w:space="0"/>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(1)</w:t>
            </w:r>
          </w:p>
        </w:tc>
        <w:tc>
          <w:tcPr>
            <w:tcW w:w="5662" w:type="dxa"/>
            <w:tcBorders>
              <w:top w:val="nil"/>
              <w:left w:val="nil"/>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(2)</w:t>
            </w:r>
          </w:p>
        </w:tc>
        <w:tc>
          <w:tcPr>
            <w:tcW w:w="478" w:type="dxa"/>
            <w:tcBorders>
              <w:top w:val="nil"/>
              <w:left w:val="double" w:color="auto" w:sz="6" w:space="0"/>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(3)</w:t>
            </w:r>
          </w:p>
        </w:tc>
        <w:tc>
          <w:tcPr>
            <w:tcW w:w="480" w:type="dxa"/>
            <w:tcBorders>
              <w:top w:val="nil"/>
              <w:left w:val="nil"/>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(4)</w:t>
            </w:r>
          </w:p>
        </w:tc>
        <w:tc>
          <w:tcPr>
            <w:tcW w:w="480" w:type="dxa"/>
            <w:tcBorders>
              <w:top w:val="nil"/>
              <w:left w:val="double" w:color="auto" w:sz="6" w:space="0"/>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(5)</w:t>
            </w:r>
          </w:p>
        </w:tc>
        <w:tc>
          <w:tcPr>
            <w:tcW w:w="480" w:type="dxa"/>
            <w:tcBorders>
              <w:top w:val="nil"/>
              <w:left w:val="nil"/>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(6)</w:t>
            </w:r>
          </w:p>
        </w:tc>
        <w:tc>
          <w:tcPr>
            <w:tcW w:w="480" w:type="dxa"/>
            <w:tcBorders>
              <w:top w:val="nil"/>
              <w:left w:val="double" w:color="auto" w:sz="6" w:space="0"/>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(7)</w:t>
            </w:r>
          </w:p>
        </w:tc>
        <w:tc>
          <w:tcPr>
            <w:tcW w:w="480" w:type="dxa"/>
            <w:tcBorders>
              <w:top w:val="nil"/>
              <w:left w:val="nil"/>
              <w:bottom w:val="double" w:color="auto" w:sz="6" w:space="0"/>
              <w:right w:val="single" w:color="auto" w:sz="4"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(8)</w:t>
            </w:r>
          </w:p>
        </w:tc>
        <w:tc>
          <w:tcPr>
            <w:tcW w:w="649" w:type="dxa"/>
            <w:tcBorders>
              <w:top w:val="nil"/>
              <w:left w:val="double" w:color="auto" w:sz="6" w:space="0"/>
              <w:bottom w:val="double" w:color="auto" w:sz="6" w:space="0"/>
              <w:right w:val="double" w:color="auto" w:sz="6" w:space="0"/>
            </w:tcBorders>
            <w:shd w:val="clear" w:color="auto" w:fill="C2D69B"/>
            <w:noWrap/>
            <w:vAlign w:val="center"/>
          </w:tcPr>
          <w:p>
            <w:pPr>
              <w:spacing w:after="0" w:line="240" w:lineRule="auto"/>
              <w:jc w:val="center"/>
              <w:rPr>
                <w:rFonts w:ascii="Bookman Old Style" w:hAnsi="Bookman Old Style" w:eastAsia="Times New Roman" w:cs="Calibri"/>
                <w:b/>
                <w:bCs/>
                <w:i/>
                <w:iCs/>
                <w:color w:val="000000"/>
                <w:sz w:val="16"/>
                <w:szCs w:val="16"/>
              </w:rPr>
            </w:pPr>
            <w:r>
              <w:rPr>
                <w:rFonts w:ascii="Bookman Old Style" w:hAnsi="Bookman Old Style" w:eastAsia="Times New Roman" w:cs="Calibri"/>
                <w:b/>
                <w:bCs/>
                <w:i/>
                <w:iCs/>
                <w:color w:val="000000"/>
                <w:sz w:val="16"/>
                <w:szCs w:val="16"/>
              </w:rPr>
              <w:t>(9)</w:t>
            </w:r>
          </w:p>
        </w:tc>
      </w:tr>
      <w:tr>
        <w:tblPrEx>
          <w:tblCellMar>
            <w:top w:w="0" w:type="dxa"/>
            <w:left w:w="108" w:type="dxa"/>
            <w:bottom w:w="0" w:type="dxa"/>
            <w:right w:w="108" w:type="dxa"/>
          </w:tblCellMar>
        </w:tblPrEx>
        <w:trPr>
          <w:trHeight w:val="338" w:hRule="atLeast"/>
        </w:trPr>
        <w:tc>
          <w:tcPr>
            <w:tcW w:w="9623" w:type="dxa"/>
            <w:gridSpan w:val="9"/>
            <w:tcBorders>
              <w:top w:val="double" w:color="auto" w:sz="6" w:space="0"/>
              <w:left w:val="double" w:color="auto" w:sz="6" w:space="0"/>
              <w:bottom w:val="single" w:color="auto" w:sz="4" w:space="0"/>
              <w:right w:val="double" w:color="000000" w:sz="6" w:space="0"/>
            </w:tcBorders>
            <w:shd w:val="clear" w:color="auto" w:fill="auto"/>
            <w:noWrap/>
            <w:vAlign w:val="center"/>
          </w:tcPr>
          <w:p>
            <w:pPr>
              <w:spacing w:after="0" w:line="240" w:lineRule="auto"/>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 xml:space="preserve">        Urusan Koperasi dan UKM</w:t>
            </w:r>
          </w:p>
        </w:tc>
      </w:tr>
      <w:tr>
        <w:tblPrEx>
          <w:tblCellMar>
            <w:top w:w="0" w:type="dxa"/>
            <w:left w:w="108" w:type="dxa"/>
            <w:bottom w:w="0" w:type="dxa"/>
            <w:right w:w="108" w:type="dxa"/>
          </w:tblCellMar>
        </w:tblPrEx>
        <w:trPr>
          <w:trHeight w:val="293"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pelaksanaan penyuluhan, pembinaan dan pelatihan kepada Koperasi yang kondisinya sudah tidak sehat</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55</w:t>
            </w:r>
          </w:p>
        </w:tc>
      </w:tr>
      <w:tr>
        <w:tblPrEx>
          <w:tblCellMar>
            <w:top w:w="0" w:type="dxa"/>
            <w:left w:w="108" w:type="dxa"/>
            <w:bottom w:w="0" w:type="dxa"/>
            <w:right w:w="108" w:type="dxa"/>
          </w:tblCellMar>
        </w:tblPrEx>
        <w:trPr>
          <w:trHeight w:val="1462"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anggaran pembinaan baik ke APBD Provinsi maupun APBN dengan mengefektifkan penggunaan anggaran dalam setiap pelaksanaan kegiatan dengan mengupayakan modal Anggaran untuk Pengembangan Tehnologi Informasi (TI), SDM dan Adanya Aplikasi TI yang sesuai dengan kebutuhan budaya/ Karateristik UMKM sehingga informasi yang menunjang kegiatan usaha baik berupa informasi pasar maupun informasi mengenai desain kemasan untuk produk /jasa dapat terpenuhi</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85</w:t>
            </w:r>
          </w:p>
        </w:tc>
      </w:tr>
      <w:tr>
        <w:tblPrEx>
          <w:tblCellMar>
            <w:top w:w="0" w:type="dxa"/>
            <w:left w:w="108" w:type="dxa"/>
            <w:bottom w:w="0" w:type="dxa"/>
            <w:right w:w="108" w:type="dxa"/>
          </w:tblCellMar>
        </w:tblPrEx>
        <w:trPr>
          <w:trHeight w:val="1228"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3</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akses pelaku usaha Koperasi dan UMKM terhadap layanan perbankan dengan mengupayakan mengembangkan usaha para pelaku KMKM dengan memberikan Kewirausahaan kepada pelaku melalui bantuan teknis mulai dari produksi, pembukuan keuangan hingga pemasaran serta mendorong UMKM untuk menggunakan layanan digital atau digitalisasi</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100</w:t>
            </w:r>
          </w:p>
        </w:tc>
      </w:tr>
      <w:tr>
        <w:tblPrEx>
          <w:tblCellMar>
            <w:top w:w="0" w:type="dxa"/>
            <w:left w:w="108" w:type="dxa"/>
            <w:bottom w:w="0" w:type="dxa"/>
            <w:right w:w="108" w:type="dxa"/>
          </w:tblCellMar>
        </w:tblPrEx>
        <w:trPr>
          <w:trHeight w:val="1557"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4</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Pencapaian koperasi yang sehat jika koperasi mempunyai kemampuan finansial, management dan mampu memberikan fasilitas permodalan serta UMKM berbasis Kreativitas yang sesuai dukungan pemerintah melalui PP No. 6 thn 2006 tentang pengembangan ekonomi kreatif. Dengan menyiapkan Tenaga Kerja terampil dan berkualitas diantaranya Akuntan yang ahli dibidangnya, kerjasama antara pendidikan akademik untuk mencapai standar dan kompetisi yang di butuhkan</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100</w:t>
            </w:r>
          </w:p>
        </w:tc>
      </w:tr>
      <w:tr>
        <w:tblPrEx>
          <w:tblCellMar>
            <w:top w:w="0" w:type="dxa"/>
            <w:left w:w="108" w:type="dxa"/>
            <w:bottom w:w="0" w:type="dxa"/>
            <w:right w:w="108" w:type="dxa"/>
          </w:tblCellMar>
        </w:tblPrEx>
        <w:trPr>
          <w:trHeight w:val="54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5</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Peningkatan strategi pemetaan product, Price,Place,Promotion dalam bisnis UMKM sesuai dengan kebutuhan yang diinginkan oleh semua konsumen atau selera pasar </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45</w:t>
            </w:r>
          </w:p>
        </w:tc>
      </w:tr>
      <w:tr>
        <w:tblPrEx>
          <w:tblCellMar>
            <w:top w:w="0" w:type="dxa"/>
            <w:left w:w="108" w:type="dxa"/>
            <w:bottom w:w="0" w:type="dxa"/>
            <w:right w:w="108" w:type="dxa"/>
          </w:tblCellMar>
        </w:tblPrEx>
        <w:trPr>
          <w:trHeight w:val="836"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6</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jaringan distribusi barang dan jasa melalui kapal muat  container selayar ke surabaya dan ke kota lainnya mempunyai potensi yang cukup besar dalam mendukung visi bupati sebagai bandar maritime</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100</w:t>
            </w:r>
          </w:p>
        </w:tc>
      </w:tr>
      <w:tr>
        <w:tblPrEx>
          <w:tblCellMar>
            <w:top w:w="0" w:type="dxa"/>
            <w:left w:w="108" w:type="dxa"/>
            <w:bottom w:w="0" w:type="dxa"/>
            <w:right w:w="108" w:type="dxa"/>
          </w:tblCellMar>
        </w:tblPrEx>
        <w:trPr>
          <w:trHeight w:val="515" w:hRule="atLeast"/>
        </w:trPr>
        <w:tc>
          <w:tcPr>
            <w:tcW w:w="434" w:type="dxa"/>
            <w:tcBorders>
              <w:top w:val="nil"/>
              <w:left w:val="double" w:color="auto" w:sz="6"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7</w:t>
            </w:r>
          </w:p>
        </w:tc>
        <w:tc>
          <w:tcPr>
            <w:tcW w:w="5662" w:type="dxa"/>
            <w:tcBorders>
              <w:top w:val="nil"/>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Pembentukan kebijakan yang bisa dilakukan untuk mempercepat UMKM naik kelas yaitu adanya Perizinan sehingga UMKM mampu merambah pasarnya ke skala nsional bahkan ekspor </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65</w:t>
            </w:r>
          </w:p>
        </w:tc>
      </w:tr>
      <w:tr>
        <w:tblPrEx>
          <w:tblCellMar>
            <w:top w:w="0" w:type="dxa"/>
            <w:left w:w="108" w:type="dxa"/>
            <w:bottom w:w="0" w:type="dxa"/>
            <w:right w:w="108" w:type="dxa"/>
          </w:tblCellMar>
        </w:tblPrEx>
        <w:trPr>
          <w:trHeight w:val="246" w:hRule="atLeast"/>
        </w:trPr>
        <w:tc>
          <w:tcPr>
            <w:tcW w:w="9623" w:type="dxa"/>
            <w:gridSpan w:val="9"/>
            <w:tcBorders>
              <w:top w:val="nil"/>
              <w:left w:val="double" w:color="auto" w:sz="6" w:space="0"/>
              <w:bottom w:val="single" w:color="auto" w:sz="4" w:space="0"/>
              <w:right w:val="double" w:color="000000" w:sz="6" w:space="0"/>
            </w:tcBorders>
            <w:shd w:val="clear" w:color="auto" w:fill="auto"/>
            <w:noWrap/>
            <w:vAlign w:val="center"/>
          </w:tcPr>
          <w:p>
            <w:pPr>
              <w:spacing w:after="0" w:line="240" w:lineRule="auto"/>
              <w:rPr>
                <w:rFonts w:ascii="Bookman Old Style" w:hAnsi="Bookman Old Style" w:eastAsia="Times New Roman" w:cs="Calibri"/>
                <w:b/>
                <w:bCs/>
                <w:color w:val="000000"/>
                <w:sz w:val="16"/>
                <w:szCs w:val="16"/>
              </w:rPr>
            </w:pPr>
            <w:r>
              <w:rPr>
                <w:rFonts w:ascii="Bookman Old Style" w:hAnsi="Bookman Old Style" w:eastAsia="Times New Roman" w:cs="Calibri"/>
                <w:b/>
                <w:bCs/>
                <w:color w:val="000000"/>
                <w:sz w:val="16"/>
                <w:szCs w:val="16"/>
              </w:rPr>
              <w:t xml:space="preserve">       Urusan Perdagangan</w:t>
            </w:r>
          </w:p>
        </w:tc>
      </w:tr>
      <w:tr>
        <w:tblPrEx>
          <w:tblCellMar>
            <w:top w:w="0" w:type="dxa"/>
            <w:left w:w="108" w:type="dxa"/>
            <w:bottom w:w="0" w:type="dxa"/>
            <w:right w:w="108" w:type="dxa"/>
          </w:tblCellMar>
        </w:tblPrEx>
        <w:trPr>
          <w:trHeight w:val="65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Percepatan pengembangan kawasan distribusi logistik                          di kawasan timur Indonesia khususnya di Kabupaten Kepulauan Selayar</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100</w:t>
            </w:r>
          </w:p>
        </w:tc>
      </w:tr>
      <w:tr>
        <w:tblPrEx>
          <w:tblCellMar>
            <w:top w:w="0" w:type="dxa"/>
            <w:left w:w="108" w:type="dxa"/>
            <w:bottom w:w="0" w:type="dxa"/>
            <w:right w:w="108" w:type="dxa"/>
          </w:tblCellMar>
        </w:tblPrEx>
        <w:trPr>
          <w:trHeight w:val="697"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diaspek inovasi dan diversifikasi produk agar mendorong IKM, UKM yang tidak kalah bersaing dan berkembang dengan inovasi produk yang baru dan sesuai dengan selera pasar</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85</w:t>
            </w:r>
          </w:p>
        </w:tc>
      </w:tr>
      <w:tr>
        <w:tblPrEx>
          <w:tblCellMar>
            <w:top w:w="0" w:type="dxa"/>
            <w:left w:w="108" w:type="dxa"/>
            <w:bottom w:w="0" w:type="dxa"/>
            <w:right w:w="108" w:type="dxa"/>
          </w:tblCellMar>
        </w:tblPrEx>
        <w:trPr>
          <w:trHeight w:val="436"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3</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Perlindungan konsumen dalam upaya ketetapan UTTP</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90</w:t>
            </w:r>
          </w:p>
        </w:tc>
      </w:tr>
      <w:tr>
        <w:tblPrEx>
          <w:tblCellMar>
            <w:top w:w="0" w:type="dxa"/>
            <w:left w:w="108" w:type="dxa"/>
            <w:bottom w:w="0" w:type="dxa"/>
            <w:right w:w="108" w:type="dxa"/>
          </w:tblCellMar>
        </w:tblPrEx>
        <w:trPr>
          <w:trHeight w:val="415"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4</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Perluasan jaringan pemasaran dengan memanfaatkan jaringan distribusi logistik yang berpotensi cukup besar dalam mendukung visi bupati sebagai bandar maritime</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100</w:t>
            </w:r>
          </w:p>
        </w:tc>
      </w:tr>
      <w:tr>
        <w:tblPrEx>
          <w:tblCellMar>
            <w:top w:w="0" w:type="dxa"/>
            <w:left w:w="108" w:type="dxa"/>
            <w:bottom w:w="0" w:type="dxa"/>
            <w:right w:w="108" w:type="dxa"/>
          </w:tblCellMar>
        </w:tblPrEx>
        <w:trPr>
          <w:trHeight w:val="266"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5</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xml:space="preserve">Peningkatan produk-produk unggulan yang dipromosikan dengan mengutamakan komoditi ekspor agar investor dapat membuka peluang lapangan usaha bagi msyarakat </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25</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90</w:t>
            </w:r>
          </w:p>
        </w:tc>
      </w:tr>
      <w:tr>
        <w:tblPrEx>
          <w:tblCellMar>
            <w:top w:w="0" w:type="dxa"/>
            <w:left w:w="108" w:type="dxa"/>
            <w:bottom w:w="0" w:type="dxa"/>
            <w:right w:w="108" w:type="dxa"/>
          </w:tblCellMar>
        </w:tblPrEx>
        <w:trPr>
          <w:trHeight w:val="128" w:hRule="atLeast"/>
        </w:trPr>
        <w:tc>
          <w:tcPr>
            <w:tcW w:w="434" w:type="dxa"/>
            <w:tcBorders>
              <w:top w:val="nil"/>
              <w:left w:val="double" w:color="auto" w:sz="6"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6</w:t>
            </w:r>
          </w:p>
        </w:tc>
        <w:tc>
          <w:tcPr>
            <w:tcW w:w="5662"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Sigernitas pemerintah pusat dan daerah</w:t>
            </w:r>
          </w:p>
        </w:tc>
        <w:tc>
          <w:tcPr>
            <w:tcW w:w="47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649" w:type="dxa"/>
            <w:tcBorders>
              <w:top w:val="nil"/>
              <w:left w:val="nil"/>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75</w:t>
            </w:r>
          </w:p>
        </w:tc>
      </w:tr>
      <w:tr>
        <w:tblPrEx>
          <w:tblCellMar>
            <w:top w:w="0" w:type="dxa"/>
            <w:left w:w="108" w:type="dxa"/>
            <w:bottom w:w="0" w:type="dxa"/>
            <w:right w:w="108" w:type="dxa"/>
          </w:tblCellMar>
        </w:tblPrEx>
        <w:trPr>
          <w:trHeight w:val="270" w:hRule="atLeast"/>
        </w:trPr>
        <w:tc>
          <w:tcPr>
            <w:tcW w:w="434" w:type="dxa"/>
            <w:tcBorders>
              <w:top w:val="nil"/>
              <w:left w:val="double" w:color="auto" w:sz="6" w:space="0"/>
              <w:bottom w:val="double" w:color="auto" w:sz="6" w:space="0"/>
              <w:right w:val="single" w:color="auto" w:sz="4" w:space="0"/>
            </w:tcBorders>
            <w:shd w:val="clear" w:color="auto" w:fill="auto"/>
            <w:noWrap/>
          </w:tcPr>
          <w:p>
            <w:pPr>
              <w:spacing w:after="0" w:line="240" w:lineRule="auto"/>
              <w:jc w:val="center"/>
              <w:rPr>
                <w:rFonts w:ascii="Bookman Old Style" w:hAnsi="Bookman Old Style" w:eastAsia="Times New Roman" w:cs="Calibri"/>
                <w:color w:val="000000"/>
                <w:sz w:val="16"/>
                <w:szCs w:val="16"/>
              </w:rPr>
            </w:pPr>
          </w:p>
        </w:tc>
        <w:tc>
          <w:tcPr>
            <w:tcW w:w="5662" w:type="dxa"/>
            <w:tcBorders>
              <w:top w:val="nil"/>
              <w:left w:val="nil"/>
              <w:bottom w:val="double" w:color="auto" w:sz="6" w:space="0"/>
              <w:right w:val="single" w:color="auto" w:sz="4" w:space="0"/>
            </w:tcBorders>
            <w:shd w:val="clear" w:color="auto" w:fill="auto"/>
          </w:tcPr>
          <w:p>
            <w:pPr>
              <w:spacing w:after="0" w:line="240" w:lineRule="auto"/>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Peningkatan kontribusi perdagangan terhadap PDRB</w:t>
            </w:r>
          </w:p>
        </w:tc>
        <w:tc>
          <w:tcPr>
            <w:tcW w:w="478"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20</w:t>
            </w:r>
          </w:p>
        </w:tc>
        <w:tc>
          <w:tcPr>
            <w:tcW w:w="480"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10</w:t>
            </w:r>
          </w:p>
        </w:tc>
        <w:tc>
          <w:tcPr>
            <w:tcW w:w="480"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15</w:t>
            </w:r>
          </w:p>
        </w:tc>
        <w:tc>
          <w:tcPr>
            <w:tcW w:w="480" w:type="dxa"/>
            <w:tcBorders>
              <w:top w:val="nil"/>
              <w:left w:val="nil"/>
              <w:bottom w:val="double" w:color="auto" w:sz="6"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 </w:t>
            </w:r>
          </w:p>
        </w:tc>
        <w:tc>
          <w:tcPr>
            <w:tcW w:w="649" w:type="dxa"/>
            <w:tcBorders>
              <w:top w:val="nil"/>
              <w:left w:val="nil"/>
              <w:bottom w:val="double" w:color="auto" w:sz="6"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Calibri"/>
                <w:color w:val="000000"/>
                <w:sz w:val="16"/>
                <w:szCs w:val="16"/>
              </w:rPr>
            </w:pPr>
            <w:r>
              <w:rPr>
                <w:rFonts w:ascii="Bookman Old Style" w:hAnsi="Bookman Old Style" w:eastAsia="Times New Roman" w:cs="Calibri"/>
                <w:color w:val="000000"/>
                <w:sz w:val="16"/>
                <w:szCs w:val="16"/>
              </w:rPr>
              <w:t>75</w:t>
            </w:r>
          </w:p>
        </w:tc>
      </w:tr>
    </w:tbl>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1276"/>
          <w:tab w:val="left" w:pos="1701"/>
        </w:tabs>
        <w:autoSpaceDE w:val="0"/>
        <w:autoSpaceDN w:val="0"/>
        <w:adjustRightInd w:val="0"/>
        <w:spacing w:after="0" w:line="360" w:lineRule="auto"/>
        <w:jc w:val="both"/>
        <w:rPr>
          <w:rFonts w:ascii="Bookman Old Style" w:hAnsi="Bookman Old Style" w:eastAsia="Times New Roman" w:cs="Arial"/>
          <w:color w:val="000000" w:themeColor="text1"/>
          <w:sz w:val="24"/>
          <w:szCs w:val="24"/>
          <w:lang w:eastAsia="id-ID"/>
          <w14:textFill>
            <w14:solidFill>
              <w14:schemeClr w14:val="tx1"/>
            </w14:solidFill>
          </w14:textFill>
        </w:rPr>
      </w:pPr>
    </w:p>
    <w:p>
      <w:pPr>
        <w:tabs>
          <w:tab w:val="left" w:pos="6237"/>
        </w:tabs>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BAB IV </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TUJUAN DAN SASARAN </w:t>
      </w:r>
    </w:p>
    <w:p>
      <w:pPr>
        <w:tabs>
          <w:tab w:val="left" w:pos="1080"/>
          <w:tab w:val="left" w:pos="1418"/>
          <w:tab w:val="left" w:pos="1985"/>
          <w:tab w:val="left" w:leader="dot" w:pos="8820"/>
          <w:tab w:val="right" w:pos="9214"/>
          <w:tab w:val="right" w:pos="9360"/>
        </w:tabs>
        <w:spacing w:after="0" w:line="276"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900"/>
          <w:tab w:val="left" w:pos="2268"/>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Visi dan misi Kepala Daerah dan Wakil Kepala Daerah terpilih merupakan landasan perumusan tujuan dan sasaran dengan memperhatikan program yang tertuju pada arah kebijakan pembangunan jangka panjang daerah pada periode berkenaan dalam RPJPD. Mengingat visi, misi, dan program kepala daerah merupakan hasil proses politik terpilihnya Kepala daerah dan wakil kepala daerah secara langsung oleh masyarakat, maka visi, misi, dan program kepala daerah dan wakil kepala daerah terpilih dijadikan sebagai substansi dan rujukan utama penyusunan RPJMD. </w:t>
      </w:r>
    </w:p>
    <w:p>
      <w:pPr>
        <w:tabs>
          <w:tab w:val="left" w:pos="900"/>
          <w:tab w:val="left" w:pos="2268"/>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Namun demikian, demi mendapatkan dokumen perencanaan yang baik, manageable, dan selaras dengan manajemen pemerintahan daerah, maka visi dan misi tersebut perlu dikembangkan dan dijabarkan sesuai prinsip perencanaan pembangunan daerah, agar tujuan dan sasaran pembangunan selama 5 (lima) tahun dapat dijabarkan secara efektif dalam mencapai tujuan utama pembangunan daerah. Visi pembangunan daerah dalam RPJMD adalah visi Kepala Daerah dan Wakil Kepala Daerah terpilih yang disampaikan pada waktu pemilihan kepala daerah (pilkada).  </w:t>
      </w:r>
    </w:p>
    <w:p>
      <w:pPr>
        <w:tabs>
          <w:tab w:val="left" w:pos="900"/>
          <w:tab w:val="left" w:pos="2268"/>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Visi Kepala daerah dan wakil kepala daerah terpilih seharusnya menggambarkan arah pembangunan atau kondisi masa depan daerah yang ingin dicapai (desired future) dalam masa jabatan selama 5 (lima) tahun sesuai misi yang diemban. Pedoman utama penyusunan visi kepala daerah (saat mencalonkan) adalah bagaimana menyesuaikannya dengan sasaran pokok sesuai dengan arah kebijakan pembangunan lima tahun periode berkenaan. Untuk mencapai indikator dan target dari sasaran pokok yang sama, kepemimpinan yang berbeda dapat menghasilkan visi dan misi yang berbeda pula, tergantung tekanan dan prioritas pembangunan masing-masing. Dengan demikian maka kedudukan RPJMD sangat penting untuk dijadikan landasan penyusunan dokumen RENSTRA OPD yang dapat dioperasionalkan secara efektif dan efisien untuk mencapai tujuan dan sasaran pembangunan daerah selama 5 (lima) tahun kedepan. </w:t>
      </w:r>
    </w:p>
    <w:p>
      <w:pPr>
        <w:tabs>
          <w:tab w:val="left" w:pos="90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Mengacu pada uraian di atas serta memperhatikan arah kebijakan tahun ketiga dalam RPJPD Kabupaten Kepulauan Selayar Tahun 2005-2025, RPJPD dan RPJM Propinsi Sulawesi Selatan 2018-2020, substansi  RPJM Nasional 2020-2026,  dinamika lingkungan strategis, aspirasi masyarakat dan pemerintah Kepulauan Selayar, serta visi misi Bupati/Wakil Bupati, maka ditetapkan  Visi  Pembangunan  Kabupaten  Kepulauan Selayar dalam RPJMD</w:t>
      </w:r>
    </w:p>
    <w:p>
      <w:pPr>
        <w:tabs>
          <w:tab w:val="left" w:pos="90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2021-2026 sebagai gambaran realitas masa depan yang ingin dituju dalam kurun waktu 5 tahun ke depan adalah : </w:t>
      </w:r>
      <w:r>
        <w:rPr>
          <w:rFonts w:ascii="Bookman Old Style" w:hAnsi="Bookman Old Style" w:eastAsia="Times New Roman" w:cs="Tahoma"/>
          <w:b/>
          <w:color w:val="000000" w:themeColor="text1"/>
          <w:sz w:val="24"/>
          <w:szCs w:val="24"/>
          <w14:textFill>
            <w14:solidFill>
              <w14:schemeClr w14:val="tx1"/>
            </w14:solidFill>
          </w14:textFill>
        </w:rPr>
        <w:t>“Kepulauan Selayar sebagai Bandar Maritim Kawasan Timur Indonesia”</w:t>
      </w:r>
      <w:r>
        <w:rPr>
          <w:rFonts w:ascii="Bookman Old Style" w:hAnsi="Bookman Old Style" w:eastAsia="Times New Roman" w:cs="Tahoma"/>
          <w:color w:val="000000" w:themeColor="text1"/>
          <w:sz w:val="24"/>
          <w:szCs w:val="24"/>
          <w14:textFill>
            <w14:solidFill>
              <w14:schemeClr w14:val="tx1"/>
            </w14:solidFill>
          </w14:textFill>
        </w:rPr>
        <w:t xml:space="preserve"> Sehingga visi Dinas Perdagangan, Koperasi dan Usaha Kecil dan Menengah Kabupaten Kkepulauan Selayar adalah : </w:t>
      </w:r>
      <w:r>
        <w:rPr>
          <w:rFonts w:ascii="Bookman Old Style" w:hAnsi="Bookman Old Style" w:eastAsia="Times New Roman" w:cs="Tahoma"/>
          <w:b/>
          <w:color w:val="000000" w:themeColor="text1"/>
          <w:sz w:val="24"/>
          <w:szCs w:val="24"/>
          <w14:textFill>
            <w14:solidFill>
              <w14:schemeClr w14:val="tx1"/>
            </w14:solidFill>
          </w14:textFill>
        </w:rPr>
        <w:t>“Terwujudnya Ekonomi Kerakyatan yang kuat, berdaya saing dan berkelanjutan”</w:t>
      </w:r>
      <w:r>
        <w:rPr>
          <w:rFonts w:ascii="Bookman Old Style" w:hAnsi="Bookman Old Style" w:eastAsia="Times New Roman" w:cs="Tahoma"/>
          <w:color w:val="000000" w:themeColor="text1"/>
          <w:sz w:val="24"/>
          <w:szCs w:val="24"/>
          <w14:textFill>
            <w14:solidFill>
              <w14:schemeClr w14:val="tx1"/>
            </w14:solidFill>
          </w14:textFill>
        </w:rPr>
        <w:t xml:space="preserve"> Visi tersebut di atas mengandung makna :</w:t>
      </w:r>
    </w:p>
    <w:p>
      <w:pPr>
        <w:tabs>
          <w:tab w:val="left" w:pos="1134"/>
          <w:tab w:val="left" w:pos="2268"/>
        </w:tabs>
        <w:spacing w:after="0" w:line="360" w:lineRule="auto"/>
        <w:ind w:left="54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1. Terwujudnya Ekonomi Kerakyatan yang kuat yaitu untuk mendukung </w:t>
      </w:r>
      <w:r>
        <w:rPr>
          <w:rFonts w:ascii="Bookman Old Style" w:hAnsi="Bookman Old Style" w:eastAsia="Times New Roman" w:cs="Tahoma"/>
          <w:iCs/>
          <w:color w:val="000000" w:themeColor="text1"/>
          <w:sz w:val="24"/>
          <w:szCs w:val="24"/>
          <w14:textFill>
            <w14:solidFill>
              <w14:schemeClr w14:val="tx1"/>
            </w14:solidFill>
          </w14:textFill>
        </w:rPr>
        <w:t>Perekonomian</w:t>
      </w:r>
      <w:r>
        <w:rPr>
          <w:rFonts w:ascii="Bookman Old Style" w:hAnsi="Bookman Old Style" w:eastAsia="Times New Roman" w:cs="Tahoma"/>
          <w:color w:val="000000" w:themeColor="text1"/>
          <w:sz w:val="24"/>
          <w:szCs w:val="24"/>
          <w14:textFill>
            <w14:solidFill>
              <w14:schemeClr w14:val="tx1"/>
            </w14:solidFill>
          </w14:textFill>
        </w:rPr>
        <w:t xml:space="preserve"> Daerah yang </w:t>
      </w:r>
      <w:r>
        <w:rPr>
          <w:rFonts w:ascii="Bookman Old Style" w:hAnsi="Bookman Old Style" w:eastAsia="Times New Roman" w:cs="Tahoma"/>
          <w:iCs/>
          <w:color w:val="000000" w:themeColor="text1"/>
          <w:sz w:val="24"/>
          <w:szCs w:val="24"/>
          <w14:textFill>
            <w14:solidFill>
              <w14:schemeClr w14:val="tx1"/>
            </w14:solidFill>
          </w14:textFill>
        </w:rPr>
        <w:t>Kuat</w:t>
      </w:r>
      <w:r>
        <w:rPr>
          <w:rFonts w:ascii="Bookman Old Style" w:hAnsi="Bookman Old Style" w:eastAsia="Times New Roman" w:cs="Tahoma"/>
          <w:color w:val="000000" w:themeColor="text1"/>
          <w:sz w:val="24"/>
          <w:szCs w:val="24"/>
          <w14:textFill>
            <w14:solidFill>
              <w14:schemeClr w14:val="tx1"/>
            </w14:solidFill>
          </w14:textFill>
        </w:rPr>
        <w:t xml:space="preserve"> dilandasi perekonomian daerah berbasis </w:t>
      </w:r>
      <w:r>
        <w:rPr>
          <w:rFonts w:ascii="Bookman Old Style" w:hAnsi="Bookman Old Style" w:eastAsia="Times New Roman" w:cs="Tahoma"/>
          <w:iCs/>
          <w:color w:val="000000" w:themeColor="text1"/>
          <w:sz w:val="24"/>
          <w:szCs w:val="24"/>
          <w14:textFill>
            <w14:solidFill>
              <w14:schemeClr w14:val="tx1"/>
            </w14:solidFill>
          </w14:textFill>
        </w:rPr>
        <w:t>Kerakyatan</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134"/>
          <w:tab w:val="left" w:pos="2268"/>
        </w:tabs>
        <w:spacing w:after="0" w:line="360" w:lineRule="auto"/>
        <w:ind w:left="54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2. </w:t>
      </w:r>
      <w:r>
        <w:rPr>
          <w:rFonts w:ascii="Bookman Old Style" w:hAnsi="Bookman Old Style" w:eastAsia="Times New Roman" w:cs="Tahoma"/>
          <w:iCs/>
          <w:color w:val="000000" w:themeColor="text1"/>
          <w:sz w:val="24"/>
          <w:szCs w:val="24"/>
          <w14:textFill>
            <w14:solidFill>
              <w14:schemeClr w14:val="tx1"/>
            </w14:solidFill>
          </w14:textFill>
        </w:rPr>
        <w:t>Berdaya Saing</w:t>
      </w:r>
      <w:r>
        <w:rPr>
          <w:rFonts w:ascii="Bookman Old Style" w:hAnsi="Bookman Old Style" w:eastAsia="Times New Roman" w:cs="Tahoma"/>
          <w:color w:val="000000" w:themeColor="text1"/>
          <w:sz w:val="24"/>
          <w:szCs w:val="24"/>
          <w14:textFill>
            <w14:solidFill>
              <w14:schemeClr w14:val="tx1"/>
            </w14:solidFill>
          </w14:textFill>
        </w:rPr>
        <w:t xml:space="preserve"> dan berkelanjutan yakni partisipasi masyarakat yang </w:t>
      </w:r>
      <w:r>
        <w:rPr>
          <w:rFonts w:ascii="Bookman Old Style" w:hAnsi="Bookman Old Style" w:eastAsia="Times New Roman" w:cs="Tahoma"/>
          <w:iCs/>
          <w:color w:val="000000" w:themeColor="text1"/>
          <w:sz w:val="24"/>
          <w:szCs w:val="24"/>
          <w14:textFill>
            <w14:solidFill>
              <w14:schemeClr w14:val="tx1"/>
            </w14:solidFill>
          </w14:textFill>
        </w:rPr>
        <w:t>Berkelanjutan</w:t>
      </w:r>
      <w:r>
        <w:rPr>
          <w:rFonts w:ascii="Bookman Old Style" w:hAnsi="Bookman Old Style" w:eastAsia="Times New Roman" w:cs="Tahoma"/>
          <w:color w:val="000000" w:themeColor="text1"/>
          <w:sz w:val="24"/>
          <w:szCs w:val="24"/>
          <w14:textFill>
            <w14:solidFill>
              <w14:schemeClr w14:val="tx1"/>
            </w14:solidFill>
          </w14:textFill>
        </w:rPr>
        <w:t xml:space="preserve"> dalam kerangka mewujudkan kesejahteraan rakyat yang didukung oleh perangkat hukum berupa peraturan perundang-undangan yang mampu mengembangkan sektor usaha mikro, kecil, dan menengah agar mampu ambil peran dalam dunia usaha nasional.</w:t>
      </w:r>
    </w:p>
    <w:p>
      <w:pPr>
        <w:tabs>
          <w:tab w:val="left" w:pos="900"/>
          <w:tab w:val="left" w:pos="2268"/>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Misi adalah rumusan umum mengenai upaya-upaya yang akan dilaksanakan untuk mewujudkan visi. Rumusan misi yang baik membantu lebih jelas penggambaran visi yang ingin dicapai dan menguraikan upayaupaya apa yang harus dilakukan. Dalam suatu dokumen perencanaan, rumusan misi menjadi penting untuk memberikan kerangka bagi tujuan dan sasaran serta arah kebijakan yang ingin dicapai dan menentukan jalan yang akan ditempuh untuk mencapai visi. </w:t>
      </w:r>
    </w:p>
    <w:p>
      <w:pPr>
        <w:tabs>
          <w:tab w:val="left" w:pos="900"/>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Secara teknokratis, misi dapat dirumuskan menjadi alasan mengapa organisasi ada. Suatu alasan menjelaskan jati diri yang sesungguhnya dari Pemerintah Daerah. Disini, misi juga dapat didefinisikan sebagai komitmen terbaik terhadap stakeholder. Ada banyak stakeholder pembangunan daerah, utamanya adalah masyarakat sebagai objek (tujuan) sekaligus subjek (pelaku) pembangunan. </w:t>
      </w:r>
    </w:p>
    <w:p>
      <w:pPr>
        <w:tabs>
          <w:tab w:val="left" w:pos="900"/>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Rumusan misi dalam dokumen RPJMD dikembangkan dengan memperhatikan  faktor-faktor  lingkungan strategis, baik eksternal dan internal yang mempengaruhi serta kekuatan, kelemahan, peluang dan tantangan yang ada dalam pembangunan daerah. Misi disusun untuk memperjelas jalan atau langkah yang akan dilakukan dalam rangka mencapai perwujudan visi. Oleh karena itu,  pernyataan  misi sebaiknya menggunakan bahasa yang sederhana, ringkas dan mudah dipahami tanpa mengurangi maksud yang ingin dijelaskan. Perwujudan dari visi dapat dicapai dengan melaksanakan misi yang dirancang berdasarkan uraian pemaknaan visi sebagaimana telah dijelaskan   di atas. </w:t>
      </w:r>
    </w:p>
    <w:p>
      <w:pPr>
        <w:tabs>
          <w:tab w:val="left" w:pos="900"/>
          <w:tab w:val="left" w:pos="2268"/>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Untuk memudahkan pelaksanaan misi, maka disinergikan antara kompetensi dan potensi yang dimiliki Kabupaten Kepulauan Selayar dengan kebijakan Pemerintah sebagaimana materi RPJM Nasional dalam bentuk, sembilan agenda prioritas yang disebut NAWACITA, kecuali pada Nawacita yang merupakan urusan Pemerintah.</w:t>
      </w:r>
    </w:p>
    <w:p>
      <w:pPr>
        <w:tabs>
          <w:tab w:val="left" w:pos="900"/>
          <w:tab w:val="left" w:pos="2268"/>
        </w:tabs>
        <w:spacing w:after="0" w:line="360" w:lineRule="auto"/>
        <w:ind w:left="0" w:firstLine="30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Mengacu pada uraian-uraian tersebut di atas, maka dirumuskan Misi Pembangunan Kabupaten Kepulauan Selayar dalam periode 5 (lima) Tahun RPJMD 2020-2026 adalah : </w:t>
      </w:r>
    </w:p>
    <w:p>
      <w:pPr>
        <w:tabs>
          <w:tab w:val="left" w:pos="450"/>
          <w:tab w:val="left" w:pos="2268"/>
        </w:tabs>
        <w:spacing w:after="0" w:line="360" w:lineRule="auto"/>
        <w:ind w:left="450" w:hanging="36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1.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Mengembangkan tata kelola pemerintahan yang akuntabel dan transparan; </w:t>
      </w:r>
    </w:p>
    <w:p>
      <w:pPr>
        <w:tabs>
          <w:tab w:val="left" w:pos="45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2.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Meningkatkan kualitas pembangunan perdesaan; </w:t>
      </w:r>
    </w:p>
    <w:p>
      <w:pPr>
        <w:tabs>
          <w:tab w:val="left" w:pos="45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3.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Meningkatkan kualitas hidup masyarakat; </w:t>
      </w:r>
    </w:p>
    <w:p>
      <w:pPr>
        <w:tabs>
          <w:tab w:val="left" w:pos="45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4.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Mengembangkan pengelolaan potensi kemaritiman; </w:t>
      </w:r>
    </w:p>
    <w:p>
      <w:pPr>
        <w:tabs>
          <w:tab w:val="left" w:pos="450"/>
          <w:tab w:val="left" w:pos="2268"/>
        </w:tabs>
        <w:spacing w:after="0" w:line="360" w:lineRule="auto"/>
        <w:ind w:left="9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5.</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Meningkatkan pembinaan kehidupan sosial dan keagamaan; </w:t>
      </w:r>
    </w:p>
    <w:p>
      <w:pPr>
        <w:tabs>
          <w:tab w:val="left" w:pos="450"/>
          <w:tab w:val="left" w:pos="1560"/>
          <w:tab w:val="left" w:pos="2268"/>
        </w:tabs>
        <w:spacing w:after="0" w:line="360" w:lineRule="auto"/>
        <w:ind w:left="540" w:hanging="45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6.</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Meningkatkan pengelolaan lingkungan hidup. </w:t>
      </w:r>
    </w:p>
    <w:p>
      <w:pPr>
        <w:tabs>
          <w:tab w:val="left" w:pos="993"/>
        </w:tabs>
        <w:spacing w:after="0" w:line="360" w:lineRule="auto"/>
        <w:ind w:left="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Sehingga Dinas Perdagangan, Koperasi, Usaha Kecil dan Menengah Tahun 2021-2026 adalah mengembang amanah dengan melaksanakan misi ke-1, misi ke-2, ke-3 dan k3-4 adalah :</w:t>
      </w:r>
    </w:p>
    <w:p>
      <w:pPr>
        <w:numPr>
          <w:ilvl w:val="0"/>
          <w:numId w:val="104"/>
        </w:numPr>
        <w:spacing w:after="0" w:line="360" w:lineRule="auto"/>
        <w:ind w:left="426" w:hanging="360"/>
        <w:contextualSpacing/>
        <w:jc w:val="both"/>
        <w:rPr>
          <w:rFonts w:ascii="Bookman Old Style" w:hAnsi="Bookman Old Style" w:eastAsia="Times New Roman" w:cs="Tahoma"/>
          <w:bCs/>
          <w:color w:val="000000" w:themeColor="text1"/>
          <w:sz w:val="24"/>
          <w:szCs w:val="24"/>
          <w:lang w:val="fi-FI"/>
          <w14:textFill>
            <w14:solidFill>
              <w14:schemeClr w14:val="tx1"/>
            </w14:solidFill>
          </w14:textFill>
        </w:rPr>
      </w:pPr>
      <w:r>
        <w:rPr>
          <w:rFonts w:ascii="Bookman Old Style" w:hAnsi="Bookman Old Style" w:eastAsia="Times New Roman" w:cs="Tahoma"/>
          <w:bCs/>
          <w:color w:val="000000" w:themeColor="text1"/>
          <w:sz w:val="24"/>
          <w:szCs w:val="24"/>
          <w:lang w:val="fi-FI"/>
          <w14:textFill>
            <w14:solidFill>
              <w14:schemeClr w14:val="tx1"/>
            </w14:solidFill>
          </w14:textFill>
        </w:rPr>
        <w:t>Mengembangkan tatakelola pemerintahan yang akuntabel dan transparan;</w:t>
      </w:r>
    </w:p>
    <w:p>
      <w:pPr>
        <w:numPr>
          <w:ilvl w:val="0"/>
          <w:numId w:val="104"/>
        </w:numPr>
        <w:spacing w:after="0" w:line="360" w:lineRule="auto"/>
        <w:ind w:left="426" w:hanging="360"/>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kualitas pembangunan perdesaan; </w:t>
      </w:r>
    </w:p>
    <w:p>
      <w:pPr>
        <w:numPr>
          <w:ilvl w:val="0"/>
          <w:numId w:val="104"/>
        </w:numPr>
        <w:spacing w:after="0" w:line="360" w:lineRule="auto"/>
        <w:ind w:left="426" w:hanging="360"/>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kualitas hidup masyarakat; </w:t>
      </w:r>
    </w:p>
    <w:p>
      <w:pPr>
        <w:numPr>
          <w:ilvl w:val="0"/>
          <w:numId w:val="104"/>
        </w:numPr>
        <w:spacing w:after="0" w:line="360" w:lineRule="auto"/>
        <w:ind w:left="426" w:hanging="360"/>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Mengembangkan pengelolaan potensi kemaritiman.</w:t>
      </w:r>
    </w:p>
    <w:p>
      <w:pPr>
        <w:tabs>
          <w:tab w:val="left" w:pos="851"/>
        </w:tabs>
        <w:spacing w:after="0" w:line="360" w:lineRule="auto"/>
        <w:ind w:left="851"/>
        <w:contextualSpacing/>
        <w:jc w:val="both"/>
        <w:rPr>
          <w:rFonts w:ascii="Bookman Old Style" w:hAnsi="Bookman Old Style" w:eastAsia="Times New Roman" w:cs="Tahoma"/>
          <w:b/>
          <w:color w:val="000000" w:themeColor="text1"/>
          <w:sz w:val="18"/>
          <w:szCs w:val="24"/>
          <w:lang w:val="fi-FI"/>
          <w14:textFill>
            <w14:solidFill>
              <w14:schemeClr w14:val="tx1"/>
            </w14:solidFill>
          </w14:textFill>
        </w:rPr>
      </w:pPr>
    </w:p>
    <w:p>
      <w:pPr>
        <w:numPr>
          <w:ilvl w:val="1"/>
          <w:numId w:val="105"/>
        </w:numPr>
        <w:tabs>
          <w:tab w:val="left" w:pos="851"/>
        </w:tabs>
        <w:spacing w:after="0" w:line="360" w:lineRule="auto"/>
        <w:ind w:left="851" w:hanging="851"/>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Tujuan Jangka Menengah Dinas Perdagangan, Koperasi dan UKM</w:t>
      </w:r>
    </w:p>
    <w:p>
      <w:pPr>
        <w:tabs>
          <w:tab w:val="left" w:pos="851"/>
        </w:tabs>
        <w:spacing w:after="0" w:line="360" w:lineRule="auto"/>
        <w:ind w:left="851"/>
        <w:contextualSpacing/>
        <w:jc w:val="both"/>
        <w:rPr>
          <w:rFonts w:ascii="Bookman Old Style" w:hAnsi="Bookman Old Style" w:eastAsia="Times New Roman" w:cs="Tahoma"/>
          <w:b/>
          <w:color w:val="000000" w:themeColor="text1"/>
          <w:sz w:val="24"/>
          <w:szCs w:val="24"/>
          <w:lang w:val="fi-FI"/>
          <w14:textFill>
            <w14:solidFill>
              <w14:schemeClr w14:val="tx1"/>
            </w14:solidFill>
          </w14:textFill>
        </w:rPr>
      </w:pPr>
    </w:p>
    <w:p>
      <w:pPr>
        <w:tabs>
          <w:tab w:val="left" w:pos="1800"/>
          <w:tab w:val="left" w:pos="2552"/>
        </w:tabs>
        <w:autoSpaceDE w:val="0"/>
        <w:autoSpaceDN w:val="0"/>
        <w:adjustRightInd w:val="0"/>
        <w:spacing w:after="0" w:line="360" w:lineRule="auto"/>
        <w:ind w:left="900" w:firstLine="567"/>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Tujuan merupakan implementasi atau penjabaran dari misi dan menunjukkan suatu kondisi yang ingin dicapai oleh organisasi di masa </w:t>
      </w:r>
    </w:p>
    <w:p>
      <w:pPr>
        <w:tabs>
          <w:tab w:val="left" w:pos="1800"/>
          <w:tab w:val="left" w:pos="2552"/>
        </w:tabs>
        <w:autoSpaceDE w:val="0"/>
        <w:autoSpaceDN w:val="0"/>
        <w:adjustRightInd w:val="0"/>
        <w:spacing w:after="0" w:line="360" w:lineRule="auto"/>
        <w:ind w:left="90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mendatang. Tujuan adalah sesuatu (apa) yang akan dicapai atau dihasilkan dalam jangka waktu 1 (satu) sampai dengan 5 (lima) tahun.</w:t>
      </w:r>
    </w:p>
    <w:p>
      <w:pPr>
        <w:tabs>
          <w:tab w:val="left" w:pos="1800"/>
        </w:tabs>
        <w:autoSpaceDE w:val="0"/>
        <w:autoSpaceDN w:val="0"/>
        <w:adjustRightInd w:val="0"/>
        <w:spacing w:after="0" w:line="360" w:lineRule="auto"/>
        <w:ind w:left="900" w:firstLine="283"/>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Tujuan ditetapkan dengan mengacu kepada pernyataan visi dan misi serta didasarkan pada isu-isu dan analisis strategis. Tujuan tidak harus dinyatakan dalam bentuk kuantitatif, akan tetapi harus dapat menunjukkan suatu kondisi yang ingin dicapai di masa mendatang. </w:t>
      </w:r>
    </w:p>
    <w:p>
      <w:pPr>
        <w:tabs>
          <w:tab w:val="left" w:pos="1800"/>
        </w:tabs>
        <w:autoSpaceDE w:val="0"/>
        <w:autoSpaceDN w:val="0"/>
        <w:adjustRightInd w:val="0"/>
        <w:spacing w:after="0" w:line="360" w:lineRule="auto"/>
        <w:ind w:left="90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Tujuan akan mengarahkan perumusan sasaran,kebijakan,program dan kegiatan dalam rangka merealisasikan misi. </w:t>
      </w:r>
    </w:p>
    <w:p>
      <w:pPr>
        <w:tabs>
          <w:tab w:val="left" w:pos="1800"/>
          <w:tab w:val="left" w:pos="2552"/>
        </w:tabs>
        <w:autoSpaceDE w:val="0"/>
        <w:autoSpaceDN w:val="0"/>
        <w:adjustRightInd w:val="0"/>
        <w:spacing w:after="0" w:line="360" w:lineRule="auto"/>
        <w:ind w:left="900" w:firstLine="283"/>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Dengan berlandaskan misi yang telah ditetapkan, maka Dinas Perdagangan, Koperasi dan Usaha Kecil dan Menengah Kabupaten Kepulauan Selayar untuk masa tahun 2016 – 2021 menetapkan tujuan sebagai berikut :</w:t>
      </w:r>
    </w:p>
    <w:p>
      <w:pPr>
        <w:numPr>
          <w:ilvl w:val="0"/>
          <w:numId w:val="106"/>
        </w:numPr>
        <w:tabs>
          <w:tab w:val="left" w:pos="1418"/>
          <w:tab w:val="left" w:pos="1560"/>
          <w:tab w:val="left" w:pos="1800"/>
          <w:tab w:val="left" w:pos="2127"/>
          <w:tab w:val="left" w:pos="2552"/>
        </w:tabs>
        <w:autoSpaceDE w:val="0"/>
        <w:autoSpaceDN w:val="0"/>
        <w:adjustRightInd w:val="0"/>
        <w:spacing w:after="0" w:line="360" w:lineRule="auto"/>
        <w:ind w:left="1350" w:hanging="35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akuntabilitas kinerja dan keuangan Disperindag KUKM.</w:t>
      </w:r>
    </w:p>
    <w:p>
      <w:pPr>
        <w:numPr>
          <w:ilvl w:val="0"/>
          <w:numId w:val="106"/>
        </w:numPr>
        <w:autoSpaceDE w:val="0"/>
        <w:autoSpaceDN w:val="0"/>
        <w:adjustRightInd w:val="0"/>
        <w:spacing w:after="0" w:line="360" w:lineRule="auto"/>
        <w:ind w:left="1350" w:hanging="35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kemandirian Koperasi dan UKM  </w:t>
      </w:r>
    </w:p>
    <w:p>
      <w:pPr>
        <w:numPr>
          <w:ilvl w:val="0"/>
          <w:numId w:val="106"/>
        </w:numPr>
        <w:autoSpaceDE w:val="0"/>
        <w:autoSpaceDN w:val="0"/>
        <w:adjustRightInd w:val="0"/>
        <w:spacing w:after="0" w:line="360" w:lineRule="auto"/>
        <w:ind w:left="1350" w:hanging="357"/>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penguatan pasar dalam negeri guna meningkatkan perdagangan daerah     </w:t>
      </w:r>
    </w:p>
    <w:p>
      <w:pPr>
        <w:spacing w:after="0" w:line="240" w:lineRule="auto"/>
        <w:ind w:left="540" w:right="26"/>
        <w:jc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ind w:left="540" w:right="26"/>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4.1.1</w:t>
      </w:r>
    </w:p>
    <w:p>
      <w:pPr>
        <w:spacing w:after="120" w:line="240" w:lineRule="auto"/>
        <w:ind w:left="540" w:right="26"/>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Keterkaitan Misi dan Tujuan Renstra </w:t>
      </w:r>
      <w:r>
        <w:rPr>
          <w:rFonts w:ascii="Bookman Old Style" w:hAnsi="Bookman Old Style" w:eastAsia="Times New Roman" w:cs="Tahoma"/>
          <w:color w:val="000000" w:themeColor="text1"/>
          <w:sz w:val="24"/>
          <w:szCs w:val="24"/>
          <w:lang w:val="id-ID"/>
          <w14:textFill>
            <w14:solidFill>
              <w14:schemeClr w14:val="tx1"/>
            </w14:solidFill>
          </w14:textFill>
        </w:rPr>
        <w:t>Di</w:t>
      </w:r>
      <w:r>
        <w:rPr>
          <w:rFonts w:ascii="Bookman Old Style" w:hAnsi="Bookman Old Style" w:eastAsia="Times New Roman" w:cs="Tahoma"/>
          <w:color w:val="000000" w:themeColor="text1"/>
          <w:sz w:val="24"/>
          <w:szCs w:val="24"/>
          <w14:textFill>
            <w14:solidFill>
              <w14:schemeClr w14:val="tx1"/>
            </w14:solidFill>
          </w14:textFill>
        </w:rPr>
        <w:t>sdagkukm</w:t>
      </w:r>
    </w:p>
    <w:p>
      <w:pPr>
        <w:spacing w:after="120" w:line="240" w:lineRule="auto"/>
        <w:ind w:left="540" w:right="26"/>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Kabupaten Kepulauan Selayar Tahun 2021-2026</w:t>
      </w:r>
    </w:p>
    <w:tbl>
      <w:tblPr>
        <w:tblStyle w:val="4"/>
        <w:tblW w:w="9446" w:type="dxa"/>
        <w:jc w:val="center"/>
        <w:tblBorders>
          <w:top w:val="none" w:color="auto" w:sz="0" w:space="0"/>
          <w:left w:val="none" w:color="auto" w:sz="0" w:space="0"/>
          <w:bottom w:val="none" w:color="auto" w:sz="0"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4957"/>
        <w:gridCol w:w="4489"/>
      </w:tblGrid>
      <w:tr>
        <w:tblPrEx>
          <w:tblBorders>
            <w:top w:val="none" w:color="auto" w:sz="0" w:space="0"/>
            <w:left w:val="none" w:color="auto" w:sz="0" w:space="0"/>
            <w:bottom w:val="none" w:color="auto" w:sz="0"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262" w:hRule="atLeast"/>
          <w:jc w:val="center"/>
        </w:trPr>
        <w:tc>
          <w:tcPr>
            <w:tcW w:w="4957" w:type="dxa"/>
            <w:tcBorders>
              <w:top w:val="single" w:color="auto" w:sz="4" w:space="0"/>
              <w:left w:val="single" w:color="auto" w:sz="4" w:space="0"/>
            </w:tcBorders>
            <w:shd w:val="clear" w:color="auto" w:fill="FBD4B4"/>
            <w:vAlign w:val="center"/>
          </w:tcPr>
          <w:p>
            <w:pPr>
              <w:spacing w:before="120" w:after="120" w:line="240" w:lineRule="auto"/>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 xml:space="preserve">MISI </w:t>
            </w:r>
          </w:p>
        </w:tc>
        <w:tc>
          <w:tcPr>
            <w:tcW w:w="4489" w:type="dxa"/>
            <w:tcBorders>
              <w:top w:val="single" w:color="auto" w:sz="4" w:space="0"/>
              <w:right w:val="single" w:color="auto" w:sz="4" w:space="0"/>
            </w:tcBorders>
            <w:shd w:val="clear" w:color="auto" w:fill="FBD4B4"/>
            <w:vAlign w:val="center"/>
          </w:tcPr>
          <w:p>
            <w:pPr>
              <w:spacing w:before="120" w:after="120" w:line="240" w:lineRule="auto"/>
              <w:jc w:val="center"/>
              <w:rPr>
                <w:rFonts w:ascii="Bookman Old Style" w:hAnsi="Bookman Old Style" w:eastAsia="Times New Roman" w:cs="Tahoma"/>
                <w:b/>
                <w:bCs/>
                <w:color w:val="000000" w:themeColor="text1"/>
                <w:sz w:val="24"/>
                <w:szCs w:val="24"/>
                <w14:textFill>
                  <w14:solidFill>
                    <w14:schemeClr w14:val="tx1"/>
                  </w14:solidFill>
                </w14:textFill>
              </w:rPr>
            </w:pPr>
            <w:r>
              <w:rPr>
                <w:rFonts w:ascii="Bookman Old Style" w:hAnsi="Bookman Old Style" w:eastAsia="Times New Roman" w:cs="Tahoma"/>
                <w:b/>
                <w:bCs/>
                <w:color w:val="000000" w:themeColor="text1"/>
                <w:sz w:val="24"/>
                <w:szCs w:val="24"/>
                <w14:textFill>
                  <w14:solidFill>
                    <w14:schemeClr w14:val="tx1"/>
                  </w14:solidFill>
                </w14:textFill>
              </w:rPr>
              <w:t>TUJUAN</w:t>
            </w:r>
          </w:p>
        </w:tc>
      </w:tr>
      <w:tr>
        <w:tblPrEx>
          <w:tblBorders>
            <w:top w:val="none" w:color="auto" w:sz="0" w:space="0"/>
            <w:left w:val="none" w:color="auto" w:sz="0" w:space="0"/>
            <w:bottom w:val="none" w:color="auto" w:sz="0"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628" w:hRule="atLeast"/>
          <w:jc w:val="center"/>
        </w:trPr>
        <w:tc>
          <w:tcPr>
            <w:tcW w:w="4957" w:type="dxa"/>
            <w:tcBorders>
              <w:left w:val="single" w:color="auto" w:sz="4" w:space="0"/>
              <w:bottom w:val="single" w:color="auto" w:sz="4" w:space="0"/>
            </w:tcBorders>
          </w:tcPr>
          <w:p>
            <w:pPr>
              <w:numPr>
                <w:ilvl w:val="0"/>
                <w:numId w:val="107"/>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Mengembangkan Tatakelola pemerintahan yang akuntabel dan tranparan</w:t>
            </w:r>
          </w:p>
          <w:p>
            <w:pPr>
              <w:numPr>
                <w:ilvl w:val="0"/>
                <w:numId w:val="107"/>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Meningkatnya kualitas hidup masyarakat</w:t>
            </w:r>
          </w:p>
          <w:p>
            <w:pPr>
              <w:numPr>
                <w:ilvl w:val="0"/>
                <w:numId w:val="107"/>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Mengembangkan pengelolaan potensi kemaritiman</w:t>
            </w:r>
          </w:p>
        </w:tc>
        <w:tc>
          <w:tcPr>
            <w:tcW w:w="4489" w:type="dxa"/>
            <w:tcBorders>
              <w:bottom w:val="single" w:color="auto" w:sz="4" w:space="0"/>
              <w:right w:val="single" w:color="auto" w:sz="4" w:space="0"/>
            </w:tcBorders>
          </w:tcPr>
          <w:p>
            <w:pPr>
              <w:numPr>
                <w:ilvl w:val="0"/>
                <w:numId w:val="108"/>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Mewujudkan Reformasi Birokrasi Perangkat Daerah</w:t>
            </w:r>
          </w:p>
          <w:p>
            <w:pPr>
              <w:numPr>
                <w:ilvl w:val="0"/>
                <w:numId w:val="108"/>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Meningkatkan kemandirian </w:t>
            </w:r>
            <w:r>
              <w:rPr>
                <w:rFonts w:ascii="Bookman Old Style" w:hAnsi="Bookman Old Style" w:eastAsia="Times New Roman" w:cs="Tahoma"/>
                <w:color w:val="000000" w:themeColor="text1"/>
                <w:sz w:val="24"/>
                <w:szCs w:val="24"/>
                <w:lang w:eastAsia="id-ID"/>
                <w14:textFill>
                  <w14:solidFill>
                    <w14:schemeClr w14:val="tx1"/>
                  </w14:solidFill>
                </w14:textFill>
              </w:rPr>
              <w:t>Pelaku Usaha</w:t>
            </w:r>
          </w:p>
          <w:p>
            <w:pPr>
              <w:numPr>
                <w:ilvl w:val="0"/>
                <w:numId w:val="108"/>
              </w:numPr>
              <w:spacing w:before="60" w:beforeAutospacing="0" w:after="60" w:afterAutospacing="0" w:line="276" w:lineRule="auto"/>
              <w:ind w:left="617" w:hanging="360"/>
              <w:rPr>
                <w:rFonts w:ascii="Bookman Old Style" w:hAnsi="Bookman Old Style" w:eastAsia="Times New Roman" w:cs="Tahoma"/>
                <w:color w:val="000000" w:themeColor="text1"/>
                <w:sz w:val="24"/>
                <w:szCs w:val="24"/>
                <w:lang w:val="id-ID" w:eastAsia="id-ID"/>
                <w14:textFill>
                  <w14:solidFill>
                    <w14:schemeClr w14:val="tx1"/>
                  </w14:solidFill>
                </w14:textFill>
              </w:rPr>
            </w:pPr>
            <w:r>
              <w:rPr>
                <w:rFonts w:ascii="Bookman Old Style" w:hAnsi="Bookman Old Style" w:eastAsia="Times New Roman" w:cs="Tahoma"/>
                <w:color w:val="000000" w:themeColor="text1"/>
                <w:sz w:val="24"/>
                <w:szCs w:val="24"/>
                <w:lang w:val="id-ID" w:eastAsia="id-ID"/>
                <w14:textFill>
                  <w14:solidFill>
                    <w14:schemeClr w14:val="tx1"/>
                  </w14:solidFill>
                </w14:textFill>
              </w:rPr>
              <w:t xml:space="preserve">Meningkatkan penguatan pasar </w:t>
            </w:r>
            <w:r>
              <w:rPr>
                <w:rFonts w:ascii="Bookman Old Style" w:hAnsi="Bookman Old Style" w:eastAsia="Times New Roman" w:cs="Tahoma"/>
                <w:color w:val="000000" w:themeColor="text1"/>
                <w:sz w:val="24"/>
                <w:szCs w:val="24"/>
                <w:lang w:eastAsia="id-ID"/>
                <w14:textFill>
                  <w14:solidFill>
                    <w14:schemeClr w14:val="tx1"/>
                  </w14:solidFill>
                </w14:textFill>
              </w:rPr>
              <w:t xml:space="preserve">daerah </w:t>
            </w:r>
            <w:r>
              <w:rPr>
                <w:rFonts w:ascii="Bookman Old Style" w:hAnsi="Bookman Old Style" w:eastAsia="Times New Roman" w:cs="Tahoma"/>
                <w:color w:val="000000" w:themeColor="text1"/>
                <w:sz w:val="24"/>
                <w:szCs w:val="24"/>
                <w:lang w:val="id-ID" w:eastAsia="id-ID"/>
                <w14:textFill>
                  <w14:solidFill>
                    <w14:schemeClr w14:val="tx1"/>
                  </w14:solidFill>
                </w14:textFill>
              </w:rPr>
              <w:t>guna meningkatkan perdagangan dalam negeri</w:t>
            </w:r>
          </w:p>
        </w:tc>
      </w:tr>
    </w:tbl>
    <w:p>
      <w:pPr>
        <w:spacing w:after="0" w:line="360" w:lineRule="auto"/>
        <w:jc w:val="both"/>
        <w:rPr>
          <w:rFonts w:ascii="Bookman Old Style" w:hAnsi="Bookman Old Style" w:eastAsia="Times New Roman" w:cs="Tahoma"/>
          <w:b/>
          <w:color w:val="000000" w:themeColor="text1"/>
          <w:sz w:val="24"/>
          <w:szCs w:val="24"/>
          <w:lang w:val="fi-FI"/>
          <w14:textFill>
            <w14:solidFill>
              <w14:schemeClr w14:val="tx1"/>
            </w14:solidFill>
          </w14:textFill>
        </w:rPr>
      </w:pPr>
    </w:p>
    <w:p>
      <w:pPr>
        <w:numPr>
          <w:ilvl w:val="1"/>
          <w:numId w:val="105"/>
        </w:numPr>
        <w:tabs>
          <w:tab w:val="left" w:pos="900"/>
          <w:tab w:val="left" w:pos="1701"/>
        </w:tabs>
        <w:spacing w:after="0" w:line="360" w:lineRule="auto"/>
        <w:ind w:left="720" w:hanging="720"/>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Sasaran Jangka Menengah Dinas Perdagangan, Koperasi dan UKM</w:t>
      </w:r>
    </w:p>
    <w:p>
      <w:pPr>
        <w:tabs>
          <w:tab w:val="left" w:pos="1800"/>
        </w:tabs>
        <w:autoSpaceDE w:val="0"/>
        <w:autoSpaceDN w:val="0"/>
        <w:adjustRightInd w:val="0"/>
        <w:spacing w:after="0" w:line="360" w:lineRule="auto"/>
        <w:ind w:left="72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Sasaran merupakan penjabaran dari tujuan. Sasaran menggambarkan hal yang ingin dicapai melalui tindakan-tindakan yang akan dilakukan untuk mencapai tujuan. Oleh karenanya sasaran yang ditetapkan diharapkan dapat memberikan fokus pada penyusunan program dan kegiatan. </w:t>
      </w:r>
    </w:p>
    <w:p>
      <w:pPr>
        <w:tabs>
          <w:tab w:val="left" w:pos="1800"/>
        </w:tabs>
        <w:autoSpaceDE w:val="0"/>
        <w:autoSpaceDN w:val="0"/>
        <w:adjustRightInd w:val="0"/>
        <w:spacing w:after="0" w:line="360" w:lineRule="auto"/>
        <w:ind w:left="72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Sasaran adalah hasil yang akan dicapai secara nyata oleh instansi pemerintah dalam rumusan yang lebih spesifik, terukur, dalam kurun waktu yang lebih pendek dari tujuan.</w:t>
      </w:r>
    </w:p>
    <w:p>
      <w:pPr>
        <w:tabs>
          <w:tab w:val="left" w:pos="1800"/>
        </w:tabs>
        <w:autoSpaceDE w:val="0"/>
        <w:autoSpaceDN w:val="0"/>
        <w:adjustRightInd w:val="0"/>
        <w:spacing w:after="0" w:line="360" w:lineRule="auto"/>
        <w:ind w:left="72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Atas dasar arti dan makna penetapan sasaran dimaksud, maka dalam rangka pencapaian tujuan yang telah ditetapkan, maka sasaran strategis Dinas Perdagangan, Koperasi dan UKM sebagai  berikut :</w:t>
      </w:r>
    </w:p>
    <w:p>
      <w:pPr>
        <w:numPr>
          <w:ilvl w:val="0"/>
          <w:numId w:val="109"/>
        </w:numPr>
        <w:tabs>
          <w:tab w:val="left" w:pos="851"/>
        </w:tabs>
        <w:autoSpaceDE w:val="0"/>
        <w:autoSpaceDN w:val="0"/>
        <w:adjustRightInd w:val="0"/>
        <w:spacing w:after="0" w:line="360" w:lineRule="auto"/>
        <w:ind w:left="117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Meningkatnya Kualitas Komponen Manajemen Kinerja Disdagkukm KUKM</w:t>
      </w:r>
    </w:p>
    <w:p>
      <w:pPr>
        <w:numPr>
          <w:ilvl w:val="0"/>
          <w:numId w:val="109"/>
        </w:numPr>
        <w:tabs>
          <w:tab w:val="left" w:pos="851"/>
        </w:tabs>
        <w:autoSpaceDE w:val="0"/>
        <w:autoSpaceDN w:val="0"/>
        <w:adjustRightInd w:val="0"/>
        <w:spacing w:after="0" w:line="360" w:lineRule="auto"/>
        <w:ind w:left="117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kemandirian Koperasi dan UKM</w:t>
      </w:r>
    </w:p>
    <w:p>
      <w:pPr>
        <w:numPr>
          <w:ilvl w:val="0"/>
          <w:numId w:val="109"/>
        </w:numPr>
        <w:tabs>
          <w:tab w:val="left" w:pos="851"/>
        </w:tabs>
        <w:autoSpaceDE w:val="0"/>
        <w:autoSpaceDN w:val="0"/>
        <w:adjustRightInd w:val="0"/>
        <w:spacing w:after="0" w:line="360" w:lineRule="auto"/>
        <w:ind w:left="117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Meningkatkan kesejahteraan masyarakat pelaku usaha </w:t>
      </w:r>
    </w:p>
    <w:p>
      <w:pPr>
        <w:numPr>
          <w:ilvl w:val="0"/>
          <w:numId w:val="109"/>
        </w:numPr>
        <w:tabs>
          <w:tab w:val="left" w:pos="851"/>
        </w:tabs>
        <w:autoSpaceDE w:val="0"/>
        <w:autoSpaceDN w:val="0"/>
        <w:adjustRightInd w:val="0"/>
        <w:spacing w:after="0" w:line="360" w:lineRule="auto"/>
        <w:ind w:left="1170"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Meningkatkan penguatan pasar daerah guna meningkatkan perdagangan dalam negeri</w:t>
      </w:r>
    </w:p>
    <w:p>
      <w:pPr>
        <w:tabs>
          <w:tab w:val="left" w:pos="709"/>
          <w:tab w:val="left" w:pos="1800"/>
        </w:tabs>
        <w:spacing w:after="0" w:line="360" w:lineRule="auto"/>
        <w:ind w:left="72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Perumusan suatu sasaran perlu memperhatikan indikator kinerja sesuai tugas dan fungsi Dinas Perdagangan, Koperasi dan UKM. Indikator tujuan/sasaran dan target kinerja sasaran dapat dilihat pada Tabel 4.2.1 di bawah ini :</w:t>
      </w:r>
    </w:p>
    <w:p>
      <w:pPr>
        <w:spacing w:before="120" w:after="0" w:line="240" w:lineRule="auto"/>
        <w:ind w:left="709"/>
        <w:jc w:val="center"/>
        <w:rPr>
          <w:rFonts w:ascii="Bookman Old Style" w:hAnsi="Bookman Old Style" w:eastAsia="Times New Roman" w:cs="Tahoma"/>
          <w:color w:val="000000" w:themeColor="text1"/>
          <w:sz w:val="24"/>
          <w:szCs w:val="24"/>
          <w:lang w:val="sv-SE"/>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Tabel 4.2.1</w:t>
      </w:r>
    </w:p>
    <w:p>
      <w:pPr>
        <w:spacing w:after="0" w:line="240" w:lineRule="auto"/>
        <w:ind w:left="539" w:firstLine="357"/>
        <w:jc w:val="center"/>
        <w:rPr>
          <w:rFonts w:ascii="Bookman Old Style" w:hAnsi="Bookman Old Style" w:eastAsia="Times New Roman" w:cs="Tahoma"/>
          <w:color w:val="000000" w:themeColor="text1"/>
          <w:sz w:val="24"/>
          <w:szCs w:val="24"/>
          <w:lang w:val="sv-SE"/>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 xml:space="preserve">Keterkaitan Misi, Tujuan, dan Sasaran Renstra </w:t>
      </w:r>
    </w:p>
    <w:p>
      <w:pPr>
        <w:spacing w:after="0" w:line="240" w:lineRule="auto"/>
        <w:ind w:left="539" w:firstLine="357"/>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id-ID"/>
          <w14:textFill>
            <w14:solidFill>
              <w14:schemeClr w14:val="tx1"/>
            </w14:solidFill>
          </w14:textFill>
        </w:rPr>
        <w:t>Dinas</w:t>
      </w:r>
      <w:r>
        <w:rPr>
          <w:rFonts w:ascii="Bookman Old Style" w:hAnsi="Bookman Old Style" w:eastAsia="Times New Roman" w:cs="Tahoma"/>
          <w:color w:val="000000" w:themeColor="text1"/>
          <w:sz w:val="24"/>
          <w:szCs w:val="24"/>
          <w14:textFill>
            <w14:solidFill>
              <w14:schemeClr w14:val="tx1"/>
            </w14:solidFill>
          </w14:textFill>
        </w:rPr>
        <w:t xml:space="preserve"> Perdagangan, Koperasi dan Usaha Kecil dan Menengah</w:t>
      </w:r>
    </w:p>
    <w:p>
      <w:pPr>
        <w:spacing w:after="0" w:line="240" w:lineRule="auto"/>
        <w:ind w:left="539" w:firstLine="357"/>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Kabupaten Kepulauan Selayar Tahun 2021-2026</w:t>
      </w:r>
    </w:p>
    <w:p>
      <w:pPr>
        <w:spacing w:after="0" w:line="240" w:lineRule="auto"/>
        <w:ind w:left="539" w:firstLine="357"/>
        <w:jc w:val="center"/>
        <w:rPr>
          <w:rFonts w:ascii="Bookman Old Style" w:hAnsi="Bookman Old Style" w:eastAsia="Times New Roman" w:cs="Tahoma"/>
          <w:color w:val="000000" w:themeColor="text1"/>
          <w:sz w:val="24"/>
          <w:szCs w:val="24"/>
          <w14:textFill>
            <w14:solidFill>
              <w14:schemeClr w14:val="tx1"/>
            </w14:solidFill>
          </w14:textFill>
        </w:rPr>
      </w:pPr>
    </w:p>
    <w:tbl>
      <w:tblPr>
        <w:tblStyle w:val="4"/>
        <w:tblW w:w="8789" w:type="dxa"/>
        <w:tblInd w:w="567"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835"/>
        <w:gridCol w:w="354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410" w:type="dxa"/>
            <w:tcBorders>
              <w:top w:val="single" w:color="auto" w:sz="4" w:space="0"/>
              <w:left w:val="single" w:color="auto" w:sz="4" w:space="0"/>
            </w:tcBorders>
            <w:shd w:val="clear" w:color="auto" w:fill="FBD4B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MISI </w:t>
            </w:r>
          </w:p>
        </w:tc>
        <w:tc>
          <w:tcPr>
            <w:tcW w:w="2835" w:type="dxa"/>
            <w:tcBorders>
              <w:top w:val="single" w:color="auto" w:sz="4" w:space="0"/>
            </w:tcBorders>
            <w:shd w:val="clear" w:color="auto" w:fill="FBD4B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TUJUAN</w:t>
            </w:r>
          </w:p>
        </w:tc>
        <w:tc>
          <w:tcPr>
            <w:tcW w:w="3544" w:type="dxa"/>
            <w:tcBorders>
              <w:top w:val="single" w:color="auto" w:sz="4" w:space="0"/>
              <w:right w:val="single" w:color="auto" w:sz="4" w:space="0"/>
            </w:tcBorders>
            <w:shd w:val="clear" w:color="auto" w:fill="FBD4B4"/>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SASARAN</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4" w:hRule="atLeast"/>
        </w:trPr>
        <w:tc>
          <w:tcPr>
            <w:tcW w:w="2410" w:type="dxa"/>
            <w:tcBorders>
              <w:left w:val="single" w:color="auto" w:sz="4" w:space="0"/>
            </w:tcBorders>
          </w:tcPr>
          <w:p>
            <w:pPr>
              <w:numPr>
                <w:ilvl w:val="0"/>
                <w:numId w:val="110"/>
              </w:numPr>
              <w:spacing w:before="60" w:beforeAutospacing="0" w:after="60" w:afterAutospacing="0" w:line="276" w:lineRule="auto"/>
              <w:ind w:left="345" w:hanging="360"/>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eastAsia="id-ID"/>
                <w14:textFill>
                  <w14:solidFill>
                    <w14:schemeClr w14:val="tx1"/>
                  </w14:solidFill>
                </w14:textFill>
              </w:rPr>
              <w:t>Mengembangkan Tatakelola pemerintahan yang akuntabel dan tranparan</w:t>
            </w:r>
          </w:p>
          <w:p>
            <w:pPr>
              <w:spacing w:before="60" w:beforeAutospacing="0" w:after="60" w:afterAutospacing="0" w:line="276" w:lineRule="auto"/>
              <w:rPr>
                <w:rFonts w:ascii="Bookman Old Style" w:hAnsi="Bookman Old Style" w:eastAsia="Times New Roman" w:cs="Tahoma"/>
                <w:color w:val="000000" w:themeColor="text1"/>
                <w:sz w:val="20"/>
                <w:szCs w:val="20"/>
                <w:lang w:val="id-ID" w:eastAsia="id-ID"/>
                <w14:textFill>
                  <w14:solidFill>
                    <w14:schemeClr w14:val="tx1"/>
                  </w14:solidFill>
                </w14:textFill>
              </w:rPr>
            </w:pPr>
          </w:p>
          <w:p>
            <w:pPr>
              <w:spacing w:before="60" w:beforeAutospacing="0" w:after="60" w:afterAutospacing="0" w:line="276" w:lineRule="auto"/>
              <w:rPr>
                <w:rFonts w:ascii="Bookman Old Style" w:hAnsi="Bookman Old Style" w:eastAsia="Times New Roman" w:cs="Tahoma"/>
                <w:color w:val="000000" w:themeColor="text1"/>
                <w:sz w:val="10"/>
                <w:szCs w:val="20"/>
                <w:lang w:val="id-ID" w:eastAsia="id-ID"/>
                <w14:textFill>
                  <w14:solidFill>
                    <w14:schemeClr w14:val="tx1"/>
                  </w14:solidFill>
                </w14:textFill>
              </w:rPr>
            </w:pPr>
          </w:p>
          <w:p>
            <w:pPr>
              <w:numPr>
                <w:ilvl w:val="0"/>
                <w:numId w:val="110"/>
              </w:numPr>
              <w:spacing w:before="60" w:beforeAutospacing="1" w:after="60" w:afterAutospacing="1" w:line="276" w:lineRule="auto"/>
              <w:ind w:left="345" w:hanging="360"/>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eastAsia="id-ID"/>
                <w14:textFill>
                  <w14:solidFill>
                    <w14:schemeClr w14:val="tx1"/>
                  </w14:solidFill>
                </w14:textFill>
              </w:rPr>
              <w:t>Meningkatkan kualitas hidup masyarakat</w:t>
            </w:r>
          </w:p>
        </w:tc>
        <w:tc>
          <w:tcPr>
            <w:tcW w:w="2835" w:type="dxa"/>
          </w:tcPr>
          <w:p>
            <w:pPr>
              <w:numPr>
                <w:ilvl w:val="0"/>
                <w:numId w:val="111"/>
              </w:numPr>
              <w:spacing w:before="60" w:beforeAutospacing="0" w:after="60" w:afterAutospacing="0" w:line="276" w:lineRule="auto"/>
              <w:ind w:left="617" w:hanging="360"/>
              <w:rPr>
                <w:rFonts w:ascii="Bookman Old Style" w:hAnsi="Bookman Old Style" w:eastAsia="Times New Roman" w:cs="Tahoma"/>
                <w:color w:val="000000" w:themeColor="text1"/>
                <w:sz w:val="20"/>
                <w:szCs w:val="24"/>
                <w:lang w:val="id-ID" w:eastAsia="id-ID"/>
                <w14:textFill>
                  <w14:solidFill>
                    <w14:schemeClr w14:val="tx1"/>
                  </w14:solidFill>
                </w14:textFill>
              </w:rPr>
            </w:pPr>
            <w:r>
              <w:rPr>
                <w:rFonts w:ascii="Bookman Old Style" w:hAnsi="Bookman Old Style" w:eastAsia="Times New Roman" w:cs="Tahoma"/>
                <w:color w:val="000000" w:themeColor="text1"/>
                <w:sz w:val="20"/>
                <w:szCs w:val="24"/>
                <w:lang w:eastAsia="id-ID"/>
                <w14:textFill>
                  <w14:solidFill>
                    <w14:schemeClr w14:val="tx1"/>
                  </w14:solidFill>
                </w14:textFill>
              </w:rPr>
              <w:t>Mewujudkan Reformasi Birokrasi Perangkat Daerah</w:t>
            </w:r>
            <w:r>
              <w:rPr>
                <w:rFonts w:ascii="Bookman Old Style" w:hAnsi="Bookman Old Style" w:eastAsia="Times New Roman" w:cs="Tahoma"/>
                <w:bCs/>
                <w:color w:val="000000" w:themeColor="text1"/>
                <w:sz w:val="20"/>
                <w:szCs w:val="24"/>
                <w:lang w:val="id-ID" w:eastAsia="id-ID"/>
                <w14:textFill>
                  <w14:solidFill>
                    <w14:schemeClr w14:val="tx1"/>
                  </w14:solidFill>
                </w14:textFill>
              </w:rPr>
              <w:t xml:space="preserve"> </w:t>
            </w:r>
          </w:p>
          <w:p>
            <w:pPr>
              <w:spacing w:before="60" w:beforeAutospacing="0" w:after="60" w:afterAutospacing="0" w:line="276" w:lineRule="auto"/>
              <w:rPr>
                <w:rFonts w:ascii="Bookman Old Style" w:hAnsi="Bookman Old Style" w:eastAsia="Times New Roman" w:cs="Tahoma"/>
                <w:bCs/>
                <w:color w:val="000000" w:themeColor="text1"/>
                <w:sz w:val="20"/>
                <w:szCs w:val="24"/>
                <w:lang w:eastAsia="id-ID"/>
                <w14:textFill>
                  <w14:solidFill>
                    <w14:schemeClr w14:val="tx1"/>
                  </w14:solidFill>
                </w14:textFill>
              </w:rPr>
            </w:pPr>
          </w:p>
          <w:p>
            <w:pPr>
              <w:spacing w:before="60" w:beforeAutospacing="0" w:after="60" w:afterAutospacing="0" w:line="276" w:lineRule="auto"/>
              <w:rPr>
                <w:rFonts w:ascii="Bookman Old Style" w:hAnsi="Bookman Old Style" w:eastAsia="Times New Roman" w:cs="Tahoma"/>
                <w:bCs/>
                <w:color w:val="000000" w:themeColor="text1"/>
                <w:sz w:val="20"/>
                <w:szCs w:val="24"/>
                <w:lang w:eastAsia="id-ID"/>
                <w14:textFill>
                  <w14:solidFill>
                    <w14:schemeClr w14:val="tx1"/>
                  </w14:solidFill>
                </w14:textFill>
              </w:rPr>
            </w:pPr>
          </w:p>
          <w:p>
            <w:pPr>
              <w:spacing w:before="60" w:beforeAutospacing="0" w:after="60" w:afterAutospacing="0" w:line="276" w:lineRule="auto"/>
              <w:rPr>
                <w:rFonts w:ascii="Bookman Old Style" w:hAnsi="Bookman Old Style" w:eastAsia="Times New Roman" w:cs="Tahoma"/>
                <w:bCs/>
                <w:color w:val="000000" w:themeColor="text1"/>
                <w:sz w:val="20"/>
                <w:szCs w:val="24"/>
                <w:lang w:eastAsia="id-ID"/>
                <w14:textFill>
                  <w14:solidFill>
                    <w14:schemeClr w14:val="tx1"/>
                  </w14:solidFill>
                </w14:textFill>
              </w:rPr>
            </w:pPr>
          </w:p>
          <w:p>
            <w:pPr>
              <w:spacing w:before="60" w:beforeAutospacing="0" w:after="60" w:afterAutospacing="0" w:line="276" w:lineRule="auto"/>
              <w:rPr>
                <w:rFonts w:ascii="Bookman Old Style" w:hAnsi="Bookman Old Style" w:eastAsia="Times New Roman" w:cs="Tahoma"/>
                <w:color w:val="000000" w:themeColor="text1"/>
                <w:sz w:val="20"/>
                <w:szCs w:val="24"/>
                <w:lang w:val="id-ID" w:eastAsia="id-ID"/>
                <w14:textFill>
                  <w14:solidFill>
                    <w14:schemeClr w14:val="tx1"/>
                  </w14:solidFill>
                </w14:textFill>
              </w:rPr>
            </w:pPr>
          </w:p>
          <w:p>
            <w:pPr>
              <w:numPr>
                <w:ilvl w:val="0"/>
                <w:numId w:val="111"/>
              </w:numPr>
              <w:spacing w:before="60" w:beforeAutospacing="0" w:after="60" w:afterAutospacing="0" w:line="276" w:lineRule="auto"/>
              <w:ind w:left="617" w:hanging="360"/>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val="id-ID" w:eastAsia="id-ID"/>
                <w14:textFill>
                  <w14:solidFill>
                    <w14:schemeClr w14:val="tx1"/>
                  </w14:solidFill>
                </w14:textFill>
              </w:rPr>
              <w:t xml:space="preserve">Meningkatkan kemandirian </w:t>
            </w:r>
            <w:r>
              <w:rPr>
                <w:rFonts w:ascii="Bookman Old Style" w:hAnsi="Bookman Old Style" w:eastAsia="Times New Roman" w:cs="Tahoma"/>
                <w:color w:val="000000" w:themeColor="text1"/>
                <w:sz w:val="20"/>
                <w:szCs w:val="20"/>
                <w:lang w:eastAsia="id-ID"/>
                <w14:textFill>
                  <w14:solidFill>
                    <w14:schemeClr w14:val="tx1"/>
                  </w14:solidFill>
                </w14:textFill>
              </w:rPr>
              <w:t>pelaku usaha</w:t>
            </w:r>
          </w:p>
          <w:p>
            <w:pPr>
              <w:spacing w:before="60" w:beforeAutospacing="0" w:after="60" w:afterAutospacing="0" w:line="276" w:lineRule="auto"/>
              <w:ind w:left="617"/>
              <w:rPr>
                <w:rFonts w:ascii="Bookman Old Style" w:hAnsi="Bookman Old Style" w:eastAsia="Times New Roman" w:cs="Tahoma"/>
                <w:color w:val="000000" w:themeColor="text1"/>
                <w:sz w:val="20"/>
                <w:szCs w:val="20"/>
                <w:lang w:val="id-ID" w:eastAsia="id-ID"/>
                <w14:textFill>
                  <w14:solidFill>
                    <w14:schemeClr w14:val="tx1"/>
                  </w14:solidFill>
                </w14:textFill>
              </w:rPr>
            </w:pPr>
          </w:p>
        </w:tc>
        <w:tc>
          <w:tcPr>
            <w:tcW w:w="3544" w:type="dxa"/>
            <w:tcBorders>
              <w:right w:val="single" w:color="auto" w:sz="4" w:space="0"/>
            </w:tcBorders>
          </w:tcPr>
          <w:p>
            <w:pPr>
              <w:numPr>
                <w:ilvl w:val="0"/>
                <w:numId w:val="112"/>
              </w:numPr>
              <w:spacing w:before="60" w:beforeAutospacing="0" w:after="60" w:afterAutospacing="0" w:line="276" w:lineRule="auto"/>
              <w:ind w:left="522" w:hanging="522"/>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eastAsia="id-ID"/>
                <w14:textFill>
                  <w14:solidFill>
                    <w14:schemeClr w14:val="tx1"/>
                  </w14:solidFill>
                </w14:textFill>
              </w:rPr>
              <w:t>Meningkatkan Kepercayaan Masyarakat terhadap Pelayanan Perangkat Daerah</w:t>
            </w:r>
          </w:p>
          <w:p>
            <w:pPr>
              <w:spacing w:before="60" w:beforeAutospacing="0" w:after="60" w:afterAutospacing="0" w:line="276" w:lineRule="auto"/>
              <w:rPr>
                <w:rFonts w:ascii="Bookman Old Style" w:hAnsi="Bookman Old Style" w:eastAsia="Times New Roman" w:cs="Tahoma"/>
                <w:color w:val="000000" w:themeColor="text1"/>
                <w:sz w:val="20"/>
                <w:szCs w:val="20"/>
                <w:lang w:eastAsia="id-ID"/>
                <w14:textFill>
                  <w14:solidFill>
                    <w14:schemeClr w14:val="tx1"/>
                  </w14:solidFill>
                </w14:textFill>
              </w:rPr>
            </w:pPr>
          </w:p>
          <w:p>
            <w:pPr>
              <w:spacing w:before="60" w:beforeAutospacing="0" w:after="60" w:afterAutospacing="0" w:line="276" w:lineRule="auto"/>
              <w:rPr>
                <w:rFonts w:ascii="Bookman Old Style" w:hAnsi="Bookman Old Style" w:eastAsia="Times New Roman" w:cs="Tahoma"/>
                <w:color w:val="000000" w:themeColor="text1"/>
                <w:sz w:val="20"/>
                <w:szCs w:val="20"/>
                <w:lang w:eastAsia="id-ID"/>
                <w14:textFill>
                  <w14:solidFill>
                    <w14:schemeClr w14:val="tx1"/>
                  </w14:solidFill>
                </w14:textFill>
              </w:rPr>
            </w:pPr>
          </w:p>
          <w:p>
            <w:pPr>
              <w:spacing w:before="60" w:beforeAutospacing="0" w:after="60" w:afterAutospacing="0" w:line="276" w:lineRule="auto"/>
              <w:ind w:left="522"/>
              <w:rPr>
                <w:rFonts w:ascii="Bookman Old Style" w:hAnsi="Bookman Old Style" w:eastAsia="Times New Roman" w:cs="Tahoma"/>
                <w:color w:val="000000" w:themeColor="text1"/>
                <w:sz w:val="2"/>
                <w:szCs w:val="20"/>
                <w:lang w:val="id-ID" w:eastAsia="id-ID"/>
                <w14:textFill>
                  <w14:solidFill>
                    <w14:schemeClr w14:val="tx1"/>
                  </w14:solidFill>
                </w14:textFill>
              </w:rPr>
            </w:pPr>
          </w:p>
          <w:p>
            <w:pPr>
              <w:numPr>
                <w:ilvl w:val="1"/>
                <w:numId w:val="101"/>
              </w:numPr>
              <w:spacing w:before="60" w:beforeAutospacing="0" w:after="60" w:afterAutospacing="0" w:line="276" w:lineRule="auto"/>
              <w:ind w:left="567" w:hanging="567"/>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val="es-ES" w:eastAsia="id-ID"/>
                <w14:textFill>
                  <w14:solidFill>
                    <w14:schemeClr w14:val="tx1"/>
                  </w14:solidFill>
                </w14:textFill>
              </w:rPr>
              <w:t xml:space="preserve">Meningkatnya kualitas kelembagaan, produktivitas dan daya saing serta kemandirian pelaku usaha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2" w:hRule="atLeast"/>
        </w:trPr>
        <w:tc>
          <w:tcPr>
            <w:tcW w:w="2410" w:type="dxa"/>
            <w:tcBorders>
              <w:left w:val="single" w:color="auto" w:sz="4" w:space="0"/>
              <w:bottom w:val="single" w:color="auto" w:sz="4" w:space="0"/>
            </w:tcBorders>
          </w:tcPr>
          <w:p>
            <w:pPr>
              <w:spacing w:before="60" w:beforeAutospacing="0" w:after="60" w:afterAutospacing="0" w:line="276" w:lineRule="auto"/>
              <w:rPr>
                <w:rFonts w:ascii="Bookman Old Style" w:hAnsi="Bookman Old Style" w:eastAsia="Times New Roman" w:cs="Tahoma"/>
                <w:color w:val="000000" w:themeColor="text1"/>
                <w:sz w:val="20"/>
                <w:szCs w:val="20"/>
                <w:lang w:eastAsia="id-ID"/>
                <w14:textFill>
                  <w14:solidFill>
                    <w14:schemeClr w14:val="tx1"/>
                  </w14:solidFill>
                </w14:textFill>
              </w:rPr>
            </w:pPr>
          </w:p>
          <w:p>
            <w:pPr>
              <w:spacing w:before="60" w:beforeAutospacing="0" w:after="60" w:afterAutospacing="0" w:line="276" w:lineRule="auto"/>
              <w:ind w:left="345"/>
              <w:rPr>
                <w:rFonts w:ascii="Bookman Old Style" w:hAnsi="Bookman Old Style" w:eastAsia="Times New Roman" w:cs="Tahoma"/>
                <w:color w:val="000000" w:themeColor="text1"/>
                <w:sz w:val="20"/>
                <w:szCs w:val="20"/>
                <w:lang w:val="id-ID" w:eastAsia="id-ID"/>
                <w14:textFill>
                  <w14:solidFill>
                    <w14:schemeClr w14:val="tx1"/>
                  </w14:solidFill>
                </w14:textFill>
              </w:rPr>
            </w:pPr>
          </w:p>
          <w:p>
            <w:pPr>
              <w:numPr>
                <w:ilvl w:val="0"/>
                <w:numId w:val="111"/>
              </w:numPr>
              <w:spacing w:before="60" w:beforeAutospacing="0" w:after="60" w:afterAutospacing="0" w:line="276" w:lineRule="auto"/>
              <w:ind w:left="345" w:hanging="360"/>
              <w:rPr>
                <w:rFonts w:ascii="Bookman Old Style" w:hAnsi="Bookman Old Style" w:eastAsia="Times New Roman" w:cs="Tahoma"/>
                <w:color w:val="000000" w:themeColor="text1"/>
                <w:sz w:val="20"/>
                <w:szCs w:val="20"/>
                <w:lang w:eastAsia="id-ID"/>
                <w14:textFill>
                  <w14:solidFill>
                    <w14:schemeClr w14:val="tx1"/>
                  </w14:solidFill>
                </w14:textFill>
              </w:rPr>
            </w:pPr>
            <w:r>
              <w:rPr>
                <w:rFonts w:ascii="Bookman Old Style" w:hAnsi="Bookman Old Style" w:eastAsia="Times New Roman" w:cs="Tahoma"/>
                <w:color w:val="000000" w:themeColor="text1"/>
                <w:sz w:val="20"/>
                <w:szCs w:val="20"/>
                <w:lang w:eastAsia="id-ID"/>
                <w14:textFill>
                  <w14:solidFill>
                    <w14:schemeClr w14:val="tx1"/>
                  </w14:solidFill>
                </w14:textFill>
              </w:rPr>
              <w:t>Mengembangkan pengelolaan potensi kemaritiman</w:t>
            </w:r>
          </w:p>
        </w:tc>
        <w:tc>
          <w:tcPr>
            <w:tcW w:w="2835" w:type="dxa"/>
            <w:tcBorders>
              <w:bottom w:val="single" w:color="auto" w:sz="4" w:space="0"/>
            </w:tcBorders>
          </w:tcPr>
          <w:p>
            <w:pPr>
              <w:spacing w:before="60" w:beforeAutospacing="0" w:after="60" w:afterAutospacing="0" w:line="276" w:lineRule="auto"/>
              <w:rPr>
                <w:rFonts w:ascii="Bookman Old Style" w:hAnsi="Bookman Old Style" w:eastAsia="Times New Roman" w:cs="Tahoma"/>
                <w:color w:val="000000" w:themeColor="text1"/>
                <w:sz w:val="20"/>
                <w:szCs w:val="20"/>
                <w:lang w:eastAsia="id-ID"/>
                <w14:textFill>
                  <w14:solidFill>
                    <w14:schemeClr w14:val="tx1"/>
                  </w14:solidFill>
                </w14:textFill>
              </w:rPr>
            </w:pPr>
          </w:p>
          <w:p>
            <w:pPr>
              <w:numPr>
                <w:ilvl w:val="0"/>
                <w:numId w:val="101"/>
              </w:numPr>
              <w:spacing w:before="60" w:beforeAutospacing="1" w:after="60" w:afterAutospacing="1" w:line="276" w:lineRule="auto"/>
              <w:ind w:left="709" w:hanging="425"/>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val="id-ID" w:eastAsia="id-ID"/>
                <w14:textFill>
                  <w14:solidFill>
                    <w14:schemeClr w14:val="tx1"/>
                  </w14:solidFill>
                </w14:textFill>
              </w:rPr>
              <w:t xml:space="preserve">Meningkatkan  penguatan pasar </w:t>
            </w:r>
            <w:r>
              <w:rPr>
                <w:rFonts w:ascii="Bookman Old Style" w:hAnsi="Bookman Old Style" w:eastAsia="Times New Roman" w:cs="Tahoma"/>
                <w:color w:val="000000" w:themeColor="text1"/>
                <w:sz w:val="20"/>
                <w:szCs w:val="20"/>
                <w:lang w:eastAsia="id-ID"/>
                <w14:textFill>
                  <w14:solidFill>
                    <w14:schemeClr w14:val="tx1"/>
                  </w14:solidFill>
                </w14:textFill>
              </w:rPr>
              <w:t xml:space="preserve">daerah </w:t>
            </w:r>
            <w:r>
              <w:rPr>
                <w:rFonts w:ascii="Bookman Old Style" w:hAnsi="Bookman Old Style" w:eastAsia="Times New Roman" w:cs="Tahoma"/>
                <w:color w:val="000000" w:themeColor="text1"/>
                <w:sz w:val="20"/>
                <w:szCs w:val="20"/>
                <w:lang w:val="id-ID" w:eastAsia="id-ID"/>
                <w14:textFill>
                  <w14:solidFill>
                    <w14:schemeClr w14:val="tx1"/>
                  </w14:solidFill>
                </w14:textFill>
              </w:rPr>
              <w:t>guna meningkatkan perdagangan dalam negeri</w:t>
            </w:r>
          </w:p>
        </w:tc>
        <w:tc>
          <w:tcPr>
            <w:tcW w:w="3544" w:type="dxa"/>
            <w:tcBorders>
              <w:bottom w:val="single" w:color="auto" w:sz="4" w:space="0"/>
              <w:right w:val="single" w:color="auto" w:sz="4" w:space="0"/>
            </w:tcBorders>
          </w:tcPr>
          <w:p>
            <w:pPr>
              <w:spacing w:before="60" w:beforeAutospacing="0" w:after="60" w:afterAutospacing="0" w:line="276" w:lineRule="auto"/>
              <w:ind w:left="522"/>
              <w:rPr>
                <w:rFonts w:ascii="Bookman Old Style" w:hAnsi="Bookman Old Style" w:eastAsia="Times New Roman" w:cs="Tahoma"/>
                <w:color w:val="000000" w:themeColor="text1"/>
                <w:sz w:val="20"/>
                <w:szCs w:val="20"/>
                <w:lang w:val="id-ID" w:eastAsia="id-ID"/>
                <w14:textFill>
                  <w14:solidFill>
                    <w14:schemeClr w14:val="tx1"/>
                  </w14:solidFill>
                </w14:textFill>
              </w:rPr>
            </w:pPr>
          </w:p>
          <w:p>
            <w:pPr>
              <w:numPr>
                <w:ilvl w:val="1"/>
                <w:numId w:val="111"/>
              </w:numPr>
              <w:spacing w:before="60" w:beforeAutospacing="1" w:after="60" w:afterAutospacing="1" w:line="276" w:lineRule="auto"/>
              <w:ind w:left="567" w:hanging="425"/>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val="es-ES" w:eastAsia="id-ID"/>
                <w14:textFill>
                  <w14:solidFill>
                    <w14:schemeClr w14:val="tx1"/>
                  </w14:solidFill>
                </w14:textFill>
              </w:rPr>
              <w:t>Meningkatnya potensi</w:t>
            </w:r>
            <w:r>
              <w:rPr>
                <w:rFonts w:ascii="Bookman Old Style" w:hAnsi="Bookman Old Style" w:eastAsia="Times New Roman" w:cs="Tahoma"/>
                <w:color w:val="000000" w:themeColor="text1"/>
                <w:sz w:val="20"/>
                <w:szCs w:val="20"/>
                <w:lang w:eastAsia="id-ID"/>
                <w14:textFill>
                  <w14:solidFill>
                    <w14:schemeClr w14:val="tx1"/>
                  </w14:solidFill>
                </w14:textFill>
              </w:rPr>
              <w:t xml:space="preserve"> ketersediaan fasilitas perdagangan dan penguatan pengawasan perdagangan</w:t>
            </w:r>
          </w:p>
        </w:tc>
      </w:tr>
    </w:tbl>
    <w:p>
      <w:pPr>
        <w:spacing w:before="240" w:after="0" w:line="360" w:lineRule="auto"/>
        <w:ind w:left="720" w:firstLine="720"/>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sv-SE"/>
          <w14:textFill>
            <w14:solidFill>
              <w14:schemeClr w14:val="tx1"/>
            </w14:solidFill>
          </w14:textFill>
        </w:rPr>
        <w:t xml:space="preserve">Perumusan suatu sasaran perlu memperhatikan indikator kinerja sesuai tugas dan fungsi OPD </w:t>
      </w:r>
      <w:r>
        <w:rPr>
          <w:rFonts w:ascii="Bookman Old Style" w:hAnsi="Bookman Old Style" w:eastAsia="Times New Roman" w:cs="Tahoma"/>
          <w:color w:val="000000" w:themeColor="text1"/>
          <w:sz w:val="24"/>
          <w:szCs w:val="24"/>
          <w14:textFill>
            <w14:solidFill>
              <w14:schemeClr w14:val="tx1"/>
            </w14:solidFill>
          </w14:textFill>
        </w:rPr>
        <w:t>Dinas Perdagangan, koperasi dan Usaha Kecil dan Menengah</w:t>
      </w:r>
      <w:r>
        <w:rPr>
          <w:rFonts w:ascii="Bookman Old Style" w:hAnsi="Bookman Old Style" w:eastAsia="Times New Roman" w:cs="Tahoma"/>
          <w:color w:val="000000" w:themeColor="text1"/>
          <w:sz w:val="24"/>
          <w:szCs w:val="24"/>
          <w:lang w:val="sv-SE"/>
          <w14:textFill>
            <w14:solidFill>
              <w14:schemeClr w14:val="tx1"/>
            </w14:solidFill>
          </w14:textFill>
        </w:rPr>
        <w:t xml:space="preserve"> atau kelompok sasaran yang dilayani, serta profil pelayanan yang terkait dengan indikator kinerja. </w:t>
      </w:r>
      <w:r>
        <w:rPr>
          <w:rFonts w:ascii="Bookman Old Style" w:hAnsi="Bookman Old Style" w:eastAsia="Times New Roman" w:cs="Tahoma"/>
          <w:color w:val="000000" w:themeColor="text1"/>
          <w:sz w:val="24"/>
          <w:szCs w:val="24"/>
          <w14:textFill>
            <w14:solidFill>
              <w14:schemeClr w14:val="tx1"/>
            </w14:solidFill>
          </w14:textFill>
        </w:rPr>
        <w:t>Indikator sasaran OPD Perindag KUKM dan target kinerja sasaran OPD Perindag KUKM dapat dilihat pada Tabel 4.2.2. di bawah ini.</w:t>
      </w:r>
    </w:p>
    <w:p>
      <w:pPr>
        <w:tabs>
          <w:tab w:val="left" w:pos="1755"/>
        </w:tabs>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p>
    <w:p>
      <w:pPr>
        <w:tabs>
          <w:tab w:val="left" w:pos="1755"/>
        </w:tabs>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sz w:val="24"/>
          <w:szCs w:val="24"/>
        </w:rPr>
        <w:sectPr>
          <w:pgSz w:w="12240" w:h="20160"/>
          <w:pgMar w:top="1134" w:right="1134" w:bottom="2098" w:left="1701" w:header="720" w:footer="2268" w:gutter="0"/>
          <w:cols w:space="720" w:num="1"/>
          <w:docGrid w:linePitch="326" w:charSpace="0"/>
        </w:sect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Tabel 4.2.2. Indikator Sararan dan Target Kinerja Sasaran (Sebelum Perubahan)</w:t>
      </w:r>
    </w:p>
    <w:tbl>
      <w:tblPr>
        <w:tblStyle w:val="4"/>
        <w:tblpPr w:leftFromText="180" w:rightFromText="180" w:vertAnchor="page" w:horzAnchor="margin" w:tblpY="1780"/>
        <w:tblW w:w="16956" w:type="dxa"/>
        <w:tblInd w:w="0" w:type="dxa"/>
        <w:tblLayout w:type="autofit"/>
        <w:tblCellMar>
          <w:top w:w="0" w:type="dxa"/>
          <w:left w:w="108" w:type="dxa"/>
          <w:bottom w:w="0" w:type="dxa"/>
          <w:right w:w="108" w:type="dxa"/>
        </w:tblCellMar>
      </w:tblPr>
      <w:tblGrid>
        <w:gridCol w:w="658"/>
        <w:gridCol w:w="1854"/>
        <w:gridCol w:w="3342"/>
        <w:gridCol w:w="384"/>
        <w:gridCol w:w="3236"/>
        <w:gridCol w:w="1247"/>
        <w:gridCol w:w="1247"/>
        <w:gridCol w:w="1247"/>
        <w:gridCol w:w="1247"/>
        <w:gridCol w:w="1247"/>
        <w:gridCol w:w="1247"/>
      </w:tblGrid>
      <w:tr>
        <w:tblPrEx>
          <w:tblCellMar>
            <w:top w:w="0" w:type="dxa"/>
            <w:left w:w="108" w:type="dxa"/>
            <w:bottom w:w="0" w:type="dxa"/>
            <w:right w:w="108" w:type="dxa"/>
          </w:tblCellMar>
        </w:tblPrEx>
        <w:trPr>
          <w:trHeight w:val="250" w:hRule="atLeast"/>
        </w:trPr>
        <w:tc>
          <w:tcPr>
            <w:tcW w:w="658" w:type="dxa"/>
            <w:vMerge w:val="restart"/>
            <w:tcBorders>
              <w:top w:val="double" w:color="auto" w:sz="6" w:space="0"/>
              <w:left w:val="double" w:color="auto" w:sz="6" w:space="0"/>
              <w:bottom w:val="single" w:color="000000" w:sz="4" w:space="0"/>
              <w:right w:val="nil"/>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No</w:t>
            </w:r>
          </w:p>
        </w:tc>
        <w:tc>
          <w:tcPr>
            <w:tcW w:w="1854"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Tujuan</w:t>
            </w:r>
          </w:p>
        </w:tc>
        <w:tc>
          <w:tcPr>
            <w:tcW w:w="3342"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Sasaran</w:t>
            </w:r>
          </w:p>
        </w:tc>
        <w:tc>
          <w:tcPr>
            <w:tcW w:w="3620" w:type="dxa"/>
            <w:gridSpan w:val="2"/>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Indikator Tujuan / Sasaran</w:t>
            </w:r>
          </w:p>
        </w:tc>
        <w:tc>
          <w:tcPr>
            <w:tcW w:w="7482" w:type="dxa"/>
            <w:gridSpan w:val="6"/>
            <w:tcBorders>
              <w:top w:val="double" w:color="auto" w:sz="6" w:space="0"/>
              <w:left w:val="nil"/>
              <w:bottom w:val="single" w:color="auto" w:sz="4" w:space="0"/>
              <w:right w:val="double" w:color="000000"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Target Kinerja Tujuan/Sasaran pada Tahun ke-</w:t>
            </w:r>
          </w:p>
        </w:tc>
      </w:tr>
      <w:tr>
        <w:tblPrEx>
          <w:tblCellMar>
            <w:top w:w="0" w:type="dxa"/>
            <w:left w:w="108" w:type="dxa"/>
            <w:bottom w:w="0" w:type="dxa"/>
            <w:right w:w="108" w:type="dxa"/>
          </w:tblCellMar>
        </w:tblPrEx>
        <w:trPr>
          <w:trHeight w:val="234" w:hRule="atLeast"/>
        </w:trPr>
        <w:tc>
          <w:tcPr>
            <w:tcW w:w="658" w:type="dxa"/>
            <w:vMerge w:val="continue"/>
            <w:tcBorders>
              <w:top w:val="double" w:color="auto" w:sz="6" w:space="0"/>
              <w:left w:val="double" w:color="auto" w:sz="6" w:space="0"/>
              <w:bottom w:val="single" w:color="000000" w:sz="4" w:space="0"/>
              <w:right w:val="nil"/>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1854"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3342"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3620" w:type="dxa"/>
            <w:gridSpan w:val="2"/>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124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2021</w:t>
            </w:r>
          </w:p>
        </w:tc>
        <w:tc>
          <w:tcPr>
            <w:tcW w:w="124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2022</w:t>
            </w:r>
          </w:p>
        </w:tc>
        <w:tc>
          <w:tcPr>
            <w:tcW w:w="124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2023</w:t>
            </w:r>
          </w:p>
        </w:tc>
        <w:tc>
          <w:tcPr>
            <w:tcW w:w="124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2024</w:t>
            </w:r>
          </w:p>
        </w:tc>
        <w:tc>
          <w:tcPr>
            <w:tcW w:w="124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2025</w:t>
            </w:r>
          </w:p>
        </w:tc>
        <w:tc>
          <w:tcPr>
            <w:tcW w:w="1247" w:type="dxa"/>
            <w:tcBorders>
              <w:top w:val="single" w:color="auto" w:sz="4" w:space="0"/>
              <w:left w:val="single" w:color="auto" w:sz="4" w:space="0"/>
              <w:bottom w:val="single" w:color="auto" w:sz="4" w:space="0"/>
              <w:right w:val="double" w:color="auto"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2026</w:t>
            </w:r>
          </w:p>
        </w:tc>
      </w:tr>
      <w:tr>
        <w:tblPrEx>
          <w:tblCellMar>
            <w:top w:w="0" w:type="dxa"/>
            <w:left w:w="108" w:type="dxa"/>
            <w:bottom w:w="0" w:type="dxa"/>
            <w:right w:w="108" w:type="dxa"/>
          </w:tblCellMar>
        </w:tblPrEx>
        <w:trPr>
          <w:trHeight w:val="250" w:hRule="atLeast"/>
        </w:trPr>
        <w:tc>
          <w:tcPr>
            <w:tcW w:w="658" w:type="dxa"/>
            <w:tcBorders>
              <w:top w:val="nil"/>
              <w:left w:val="double" w:color="auto" w:sz="6" w:space="0"/>
              <w:bottom w:val="nil"/>
              <w:right w:val="nil"/>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w:t>
            </w:r>
          </w:p>
        </w:tc>
        <w:tc>
          <w:tcPr>
            <w:tcW w:w="1854" w:type="dxa"/>
            <w:tcBorders>
              <w:top w:val="nil"/>
              <w:left w:val="single" w:color="auto" w:sz="4" w:space="0"/>
              <w:bottom w:val="nil"/>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w:t>
            </w:r>
          </w:p>
        </w:tc>
        <w:tc>
          <w:tcPr>
            <w:tcW w:w="3342" w:type="dxa"/>
            <w:tcBorders>
              <w:top w:val="nil"/>
              <w:left w:val="nil"/>
              <w:bottom w:val="nil"/>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3</w:t>
            </w:r>
          </w:p>
        </w:tc>
        <w:tc>
          <w:tcPr>
            <w:tcW w:w="3620" w:type="dxa"/>
            <w:gridSpan w:val="2"/>
            <w:tcBorders>
              <w:top w:val="single" w:color="auto" w:sz="4" w:space="0"/>
              <w:left w:val="single" w:color="auto" w:sz="4" w:space="0"/>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4</w:t>
            </w:r>
          </w:p>
        </w:tc>
        <w:tc>
          <w:tcPr>
            <w:tcW w:w="1247"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5</w:t>
            </w:r>
          </w:p>
        </w:tc>
        <w:tc>
          <w:tcPr>
            <w:tcW w:w="1247"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6</w:t>
            </w:r>
          </w:p>
        </w:tc>
        <w:tc>
          <w:tcPr>
            <w:tcW w:w="1247"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7</w:t>
            </w:r>
          </w:p>
        </w:tc>
        <w:tc>
          <w:tcPr>
            <w:tcW w:w="1247"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8</w:t>
            </w:r>
          </w:p>
        </w:tc>
        <w:tc>
          <w:tcPr>
            <w:tcW w:w="1247"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9</w:t>
            </w:r>
          </w:p>
        </w:tc>
        <w:tc>
          <w:tcPr>
            <w:tcW w:w="1247" w:type="dxa"/>
            <w:tcBorders>
              <w:top w:val="nil"/>
              <w:left w:val="nil"/>
              <w:bottom w:val="double" w:color="auto" w:sz="6" w:space="0"/>
              <w:right w:val="double" w:color="auto" w:sz="6"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10</w:t>
            </w:r>
          </w:p>
        </w:tc>
      </w:tr>
      <w:tr>
        <w:tblPrEx>
          <w:tblCellMar>
            <w:top w:w="0" w:type="dxa"/>
            <w:left w:w="108" w:type="dxa"/>
            <w:bottom w:w="0" w:type="dxa"/>
            <w:right w:w="108" w:type="dxa"/>
          </w:tblCellMar>
        </w:tblPrEx>
        <w:trPr>
          <w:trHeight w:val="288" w:hRule="atLeast"/>
        </w:trPr>
        <w:tc>
          <w:tcPr>
            <w:tcW w:w="658" w:type="dxa"/>
            <w:vMerge w:val="restart"/>
            <w:tcBorders>
              <w:top w:val="single" w:color="auto" w:sz="4" w:space="0"/>
              <w:left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w:t>
            </w: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w:t>
            </w: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restart"/>
            <w:tcBorders>
              <w:top w:val="single" w:color="auto" w:sz="4" w:space="0"/>
              <w:left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Meningkatkan akuntabilitas kinerja Pemerintah daerah</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Meningkatkan kemandirian Pelaku usaha</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restart"/>
            <w:tcBorders>
              <w:top w:val="single" w:color="auto" w:sz="4" w:space="0"/>
              <w:left w:val="single" w:color="auto" w:sz="4" w:space="0"/>
              <w:right w:val="single" w:color="auto" w:sz="4" w:space="0"/>
            </w:tcBorders>
            <w:shd w:val="clear" w:color="auto" w:fill="auto"/>
            <w:vAlign w:val="center"/>
          </w:tcPr>
          <w:p>
            <w:pPr>
              <w:numPr>
                <w:ilvl w:val="0"/>
                <w:numId w:val="113"/>
              </w:numPr>
              <w:spacing w:after="0" w:line="240" w:lineRule="auto"/>
              <w:ind w:left="173" w:hanging="218"/>
              <w:contextualSpacing/>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Meningkatnya nilai SAKIP</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numPr>
                <w:ilvl w:val="0"/>
                <w:numId w:val="113"/>
              </w:numPr>
              <w:spacing w:after="0" w:line="240" w:lineRule="auto"/>
              <w:ind w:left="173" w:hanging="218"/>
              <w:contextualSpacing/>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Meningkatnya kualitas pelayanan kepada masyarakat</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numPr>
                <w:ilvl w:val="0"/>
                <w:numId w:val="113"/>
              </w:numPr>
              <w:spacing w:after="0" w:line="240" w:lineRule="auto"/>
              <w:ind w:left="173" w:hanging="218"/>
              <w:contextualSpacing/>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xml:space="preserve">Meningkatnya tertib administrasi pengelolaan keuangan dan aset daerah </w:t>
            </w:r>
          </w:p>
          <w:p>
            <w:pPr>
              <w:spacing w:after="0" w:line="240" w:lineRule="auto"/>
              <w:ind w:left="173"/>
              <w:contextualSpacing/>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Meningkatnya kualitas kelembagaan, produktivitas dan daya saing serta kemandirian pelaku usaha</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20" w:type="dxa"/>
            <w:gridSpan w:val="2"/>
            <w:tcBorders>
              <w:top w:val="single" w:color="auto" w:sz="4" w:space="0"/>
              <w:left w:val="single" w:color="auto" w:sz="4" w:space="0"/>
              <w:right w:val="single" w:color="000000" w:sz="4" w:space="0"/>
            </w:tcBorders>
            <w:shd w:val="clear" w:color="auto" w:fill="auto"/>
          </w:tcPr>
          <w:p>
            <w:pPr>
              <w:numPr>
                <w:ilvl w:val="3"/>
                <w:numId w:val="38"/>
              </w:numPr>
              <w:spacing w:after="0" w:line="240" w:lineRule="auto"/>
              <w:ind w:left="326" w:hanging="360"/>
              <w:contextualSpacing/>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Nilai Perencanaan Kinerja</w:t>
            </w:r>
          </w:p>
        </w:tc>
        <w:tc>
          <w:tcPr>
            <w:tcW w:w="1247"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18,25</w:t>
            </w:r>
          </w:p>
        </w:tc>
        <w:tc>
          <w:tcPr>
            <w:tcW w:w="1247" w:type="dxa"/>
            <w:tcBorders>
              <w:top w:val="single" w:color="auto" w:sz="4" w:space="0"/>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19,25</w:t>
            </w:r>
          </w:p>
        </w:tc>
        <w:tc>
          <w:tcPr>
            <w:tcW w:w="1247" w:type="dxa"/>
            <w:tcBorders>
              <w:top w:val="single" w:color="auto" w:sz="4" w:space="0"/>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21,25</w:t>
            </w:r>
          </w:p>
        </w:tc>
        <w:tc>
          <w:tcPr>
            <w:tcW w:w="1247" w:type="dxa"/>
            <w:tcBorders>
              <w:top w:val="single" w:color="auto" w:sz="4" w:space="0"/>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23,25</w:t>
            </w:r>
          </w:p>
        </w:tc>
        <w:tc>
          <w:tcPr>
            <w:tcW w:w="1247" w:type="dxa"/>
            <w:tcBorders>
              <w:top w:val="single" w:color="auto" w:sz="4" w:space="0"/>
              <w:left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24,25</w:t>
            </w:r>
          </w:p>
        </w:tc>
        <w:tc>
          <w:tcPr>
            <w:tcW w:w="1247" w:type="dxa"/>
            <w:tcBorders>
              <w:top w:val="single" w:color="auto" w:sz="4" w:space="0"/>
              <w:left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25,25</w:t>
            </w:r>
          </w:p>
        </w:tc>
      </w:tr>
      <w:tr>
        <w:tblPrEx>
          <w:tblCellMar>
            <w:top w:w="0" w:type="dxa"/>
            <w:left w:w="108" w:type="dxa"/>
            <w:bottom w:w="0" w:type="dxa"/>
            <w:right w:w="108" w:type="dxa"/>
          </w:tblCellMar>
        </w:tblPrEx>
        <w:trPr>
          <w:trHeight w:val="235"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Nilai Pengukuran Kinerja</w:t>
            </w: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12,15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15,15</w:t>
            </w:r>
          </w:p>
        </w:tc>
        <w:tc>
          <w:tcPr>
            <w:tcW w:w="1247"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16,15</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17,15</w:t>
            </w:r>
          </w:p>
        </w:tc>
      </w:tr>
      <w:tr>
        <w:tblPrEx>
          <w:tblCellMar>
            <w:top w:w="0" w:type="dxa"/>
            <w:left w:w="108" w:type="dxa"/>
            <w:bottom w:w="0" w:type="dxa"/>
            <w:right w:w="108" w:type="dxa"/>
          </w:tblCellMar>
        </w:tblPrEx>
        <w:trPr>
          <w:trHeight w:val="197"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Nilai Pelaporan Kinerja</w:t>
            </w: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11,15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12,15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13,15</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14,15</w:t>
            </w:r>
          </w:p>
        </w:tc>
        <w:tc>
          <w:tcPr>
            <w:tcW w:w="1247"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15,15</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16,15</w:t>
            </w:r>
          </w:p>
        </w:tc>
      </w:tr>
      <w:tr>
        <w:tblPrEx>
          <w:tblCellMar>
            <w:top w:w="0" w:type="dxa"/>
            <w:left w:w="108" w:type="dxa"/>
            <w:bottom w:w="0" w:type="dxa"/>
            <w:right w:w="108" w:type="dxa"/>
          </w:tblCellMar>
        </w:tblPrEx>
        <w:trPr>
          <w:trHeight w:val="328"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Nilai Evaluasi Internal</w:t>
            </w: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10,51</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11,51</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12,51</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13,51</w:t>
            </w:r>
          </w:p>
        </w:tc>
        <w:tc>
          <w:tcPr>
            <w:tcW w:w="1247"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14,51</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15,51</w:t>
            </w:r>
          </w:p>
        </w:tc>
      </w:tr>
      <w:tr>
        <w:tblPrEx>
          <w:tblCellMar>
            <w:top w:w="0" w:type="dxa"/>
            <w:left w:w="108" w:type="dxa"/>
            <w:bottom w:w="0" w:type="dxa"/>
            <w:right w:w="108" w:type="dxa"/>
          </w:tblCellMar>
        </w:tblPrEx>
        <w:trPr>
          <w:trHeight w:val="711"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single" w:color="auto" w:sz="4" w:space="0"/>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tc>
        <w:tc>
          <w:tcPr>
            <w:tcW w:w="3236"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Indeks Kepuasan Layanan</w:t>
            </w:r>
          </w:p>
        </w:tc>
        <w:tc>
          <w:tcPr>
            <w:tcW w:w="1247"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50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60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80</w:t>
            </w:r>
          </w:p>
        </w:tc>
        <w:tc>
          <w:tcPr>
            <w:tcW w:w="1247"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90</w:t>
            </w:r>
          </w:p>
        </w:tc>
        <w:tc>
          <w:tcPr>
            <w:tcW w:w="1247"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977"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single" w:color="auto" w:sz="4" w:space="0"/>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tc>
        <w:tc>
          <w:tcPr>
            <w:tcW w:w="3236"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Laporan Keuangan sesuai SAP</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247"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282"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koperasi aktif</w:t>
            </w:r>
          </w:p>
        </w:tc>
        <w:tc>
          <w:tcPr>
            <w:tcW w:w="1247"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82,42</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85,5</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88</w:t>
            </w:r>
          </w:p>
        </w:tc>
        <w:tc>
          <w:tcPr>
            <w:tcW w:w="1247"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91,5</w:t>
            </w:r>
          </w:p>
        </w:tc>
        <w:tc>
          <w:tcPr>
            <w:tcW w:w="1247"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94</w:t>
            </w:r>
          </w:p>
        </w:tc>
        <w:tc>
          <w:tcPr>
            <w:tcW w:w="1247"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96</w:t>
            </w:r>
          </w:p>
        </w:tc>
      </w:tr>
      <w:tr>
        <w:tblPrEx>
          <w:tblCellMar>
            <w:top w:w="0" w:type="dxa"/>
            <w:left w:w="108" w:type="dxa"/>
            <w:bottom w:w="0" w:type="dxa"/>
            <w:right w:w="108" w:type="dxa"/>
          </w:tblCellMar>
        </w:tblPrEx>
        <w:trPr>
          <w:trHeight w:val="468"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UKM non BPR/LKM aktif</w:t>
            </w: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308"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BPR/LKM aktif</w:t>
            </w: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468"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Usaha Mikro dan Kecil</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24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47"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578" w:hRule="atLeast"/>
        </w:trPr>
        <w:tc>
          <w:tcPr>
            <w:tcW w:w="658"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single" w:color="auto" w:sz="4" w:space="0"/>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Koperasi yang berkualitas</w:t>
            </w:r>
          </w:p>
        </w:tc>
        <w:tc>
          <w:tcPr>
            <w:tcW w:w="1247"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4</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4</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5</w:t>
            </w:r>
          </w:p>
        </w:tc>
        <w:tc>
          <w:tcPr>
            <w:tcW w:w="1247"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5</w:t>
            </w:r>
          </w:p>
        </w:tc>
      </w:tr>
      <w:tr>
        <w:tblPrEx>
          <w:tblCellMar>
            <w:top w:w="0" w:type="dxa"/>
            <w:left w:w="108" w:type="dxa"/>
            <w:bottom w:w="0" w:type="dxa"/>
            <w:right w:w="108" w:type="dxa"/>
          </w:tblCellMar>
        </w:tblPrEx>
        <w:trPr>
          <w:trHeight w:val="759" w:hRule="atLeast"/>
        </w:trPr>
        <w:tc>
          <w:tcPr>
            <w:tcW w:w="658" w:type="dxa"/>
            <w:vMerge w:val="continue"/>
            <w:tcBorders>
              <w:left w:val="single" w:color="auto" w:sz="4" w:space="0"/>
              <w:bottom w:val="double" w:color="000000" w:sz="6"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854" w:type="dxa"/>
            <w:vMerge w:val="continue"/>
            <w:tcBorders>
              <w:left w:val="single" w:color="auto" w:sz="4" w:space="0"/>
              <w:bottom w:val="double" w:color="000000" w:sz="6"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342" w:type="dxa"/>
            <w:vMerge w:val="continue"/>
            <w:tcBorders>
              <w:left w:val="single" w:color="auto" w:sz="4" w:space="0"/>
              <w:bottom w:val="double" w:color="000000" w:sz="6"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84" w:type="dxa"/>
            <w:tcBorders>
              <w:top w:val="single" w:color="auto" w:sz="4" w:space="0"/>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36"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usaha kecil yang menjadi wirausaha</w:t>
            </w:r>
          </w:p>
        </w:tc>
        <w:tc>
          <w:tcPr>
            <w:tcW w:w="1247"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19.364</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25.012</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31.058</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35.364</w:t>
            </w:r>
          </w:p>
        </w:tc>
        <w:tc>
          <w:tcPr>
            <w:tcW w:w="124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39.691</w:t>
            </w:r>
          </w:p>
        </w:tc>
        <w:tc>
          <w:tcPr>
            <w:tcW w:w="1247"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44.550</w:t>
            </w:r>
          </w:p>
        </w:tc>
      </w:tr>
    </w:tbl>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tbl>
      <w:tblPr>
        <w:tblStyle w:val="4"/>
        <w:tblW w:w="16797" w:type="dxa"/>
        <w:tblInd w:w="261" w:type="dxa"/>
        <w:tblLayout w:type="autofit"/>
        <w:tblCellMar>
          <w:top w:w="0" w:type="dxa"/>
          <w:left w:w="108" w:type="dxa"/>
          <w:bottom w:w="0" w:type="dxa"/>
          <w:right w:w="108" w:type="dxa"/>
        </w:tblCellMar>
      </w:tblPr>
      <w:tblGrid>
        <w:gridCol w:w="610"/>
        <w:gridCol w:w="2261"/>
        <w:gridCol w:w="3071"/>
        <w:gridCol w:w="366"/>
        <w:gridCol w:w="3275"/>
        <w:gridCol w:w="1219"/>
        <w:gridCol w:w="1219"/>
        <w:gridCol w:w="1219"/>
        <w:gridCol w:w="1219"/>
        <w:gridCol w:w="1118"/>
        <w:gridCol w:w="1220"/>
      </w:tblGrid>
      <w:tr>
        <w:tblPrEx>
          <w:tblCellMar>
            <w:top w:w="0" w:type="dxa"/>
            <w:left w:w="108" w:type="dxa"/>
            <w:bottom w:w="0" w:type="dxa"/>
            <w:right w:w="108" w:type="dxa"/>
          </w:tblCellMar>
        </w:tblPrEx>
        <w:trPr>
          <w:trHeight w:val="315" w:hRule="atLeast"/>
        </w:trPr>
        <w:tc>
          <w:tcPr>
            <w:tcW w:w="610" w:type="dxa"/>
            <w:vMerge w:val="restart"/>
            <w:tcBorders>
              <w:top w:val="double" w:color="auto" w:sz="6" w:space="0"/>
              <w:left w:val="double" w:color="auto" w:sz="6" w:space="0"/>
              <w:bottom w:val="single" w:color="000000" w:sz="4" w:space="0"/>
              <w:right w:val="nil"/>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No</w:t>
            </w:r>
          </w:p>
        </w:tc>
        <w:tc>
          <w:tcPr>
            <w:tcW w:w="2261"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Tujuan</w:t>
            </w:r>
          </w:p>
        </w:tc>
        <w:tc>
          <w:tcPr>
            <w:tcW w:w="3071"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Sasaran</w:t>
            </w:r>
          </w:p>
        </w:tc>
        <w:tc>
          <w:tcPr>
            <w:tcW w:w="3640" w:type="dxa"/>
            <w:gridSpan w:val="2"/>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Indikator Tujuan / Sasaran</w:t>
            </w:r>
          </w:p>
        </w:tc>
        <w:tc>
          <w:tcPr>
            <w:tcW w:w="7215" w:type="dxa"/>
            <w:gridSpan w:val="6"/>
            <w:tcBorders>
              <w:top w:val="double" w:color="auto" w:sz="6" w:space="0"/>
              <w:left w:val="nil"/>
              <w:bottom w:val="single" w:color="auto" w:sz="4" w:space="0"/>
              <w:right w:val="double" w:color="000000"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Target Kinerja Tujuan/Sasaran pada Tahun ke-</w:t>
            </w:r>
          </w:p>
        </w:tc>
      </w:tr>
      <w:tr>
        <w:tblPrEx>
          <w:tblCellMar>
            <w:top w:w="0" w:type="dxa"/>
            <w:left w:w="108" w:type="dxa"/>
            <w:bottom w:w="0" w:type="dxa"/>
            <w:right w:w="108" w:type="dxa"/>
          </w:tblCellMar>
        </w:tblPrEx>
        <w:trPr>
          <w:trHeight w:val="295" w:hRule="atLeast"/>
        </w:trPr>
        <w:tc>
          <w:tcPr>
            <w:tcW w:w="610" w:type="dxa"/>
            <w:vMerge w:val="continue"/>
            <w:tcBorders>
              <w:top w:val="double" w:color="auto" w:sz="6" w:space="0"/>
              <w:left w:val="double" w:color="auto" w:sz="6" w:space="0"/>
              <w:bottom w:val="single" w:color="000000" w:sz="4" w:space="0"/>
              <w:right w:val="nil"/>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3640" w:type="dxa"/>
            <w:gridSpan w:val="2"/>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12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2021</w:t>
            </w:r>
          </w:p>
        </w:tc>
        <w:tc>
          <w:tcPr>
            <w:tcW w:w="12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2022</w:t>
            </w:r>
          </w:p>
        </w:tc>
        <w:tc>
          <w:tcPr>
            <w:tcW w:w="12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2023</w:t>
            </w:r>
          </w:p>
        </w:tc>
        <w:tc>
          <w:tcPr>
            <w:tcW w:w="121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2024</w:t>
            </w:r>
          </w:p>
        </w:tc>
        <w:tc>
          <w:tcPr>
            <w:tcW w:w="111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2025</w:t>
            </w:r>
          </w:p>
        </w:tc>
        <w:tc>
          <w:tcPr>
            <w:tcW w:w="1219" w:type="dxa"/>
            <w:tcBorders>
              <w:top w:val="single" w:color="auto" w:sz="4" w:space="0"/>
              <w:left w:val="single" w:color="auto" w:sz="4" w:space="0"/>
              <w:bottom w:val="single" w:color="auto" w:sz="4" w:space="0"/>
              <w:right w:val="double" w:color="auto"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2026</w:t>
            </w:r>
          </w:p>
        </w:tc>
      </w:tr>
      <w:tr>
        <w:tblPrEx>
          <w:tblCellMar>
            <w:top w:w="0" w:type="dxa"/>
            <w:left w:w="108" w:type="dxa"/>
            <w:bottom w:w="0" w:type="dxa"/>
            <w:right w:w="108" w:type="dxa"/>
          </w:tblCellMar>
        </w:tblPrEx>
        <w:trPr>
          <w:trHeight w:val="315" w:hRule="atLeast"/>
        </w:trPr>
        <w:tc>
          <w:tcPr>
            <w:tcW w:w="610" w:type="dxa"/>
            <w:tcBorders>
              <w:top w:val="nil"/>
              <w:left w:val="double" w:color="auto" w:sz="6" w:space="0"/>
              <w:bottom w:val="double" w:color="auto" w:sz="6" w:space="0"/>
              <w:right w:val="nil"/>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w:t>
            </w:r>
          </w:p>
        </w:tc>
        <w:tc>
          <w:tcPr>
            <w:tcW w:w="2261" w:type="dxa"/>
            <w:tcBorders>
              <w:top w:val="single" w:color="auto" w:sz="4" w:space="0"/>
              <w:left w:val="single" w:color="auto" w:sz="4" w:space="0"/>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w:t>
            </w:r>
          </w:p>
        </w:tc>
        <w:tc>
          <w:tcPr>
            <w:tcW w:w="3071"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3</w:t>
            </w:r>
          </w:p>
        </w:tc>
        <w:tc>
          <w:tcPr>
            <w:tcW w:w="3640" w:type="dxa"/>
            <w:gridSpan w:val="2"/>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4</w:t>
            </w:r>
          </w:p>
        </w:tc>
        <w:tc>
          <w:tcPr>
            <w:tcW w:w="121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5</w:t>
            </w:r>
          </w:p>
        </w:tc>
        <w:tc>
          <w:tcPr>
            <w:tcW w:w="121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6</w:t>
            </w:r>
          </w:p>
        </w:tc>
        <w:tc>
          <w:tcPr>
            <w:tcW w:w="121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7</w:t>
            </w:r>
          </w:p>
        </w:tc>
        <w:tc>
          <w:tcPr>
            <w:tcW w:w="121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8</w:t>
            </w:r>
          </w:p>
        </w:tc>
        <w:tc>
          <w:tcPr>
            <w:tcW w:w="1118"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9</w:t>
            </w:r>
          </w:p>
        </w:tc>
        <w:tc>
          <w:tcPr>
            <w:tcW w:w="1219" w:type="dxa"/>
            <w:tcBorders>
              <w:top w:val="nil"/>
              <w:left w:val="nil"/>
              <w:bottom w:val="double" w:color="auto" w:sz="6" w:space="0"/>
              <w:right w:val="double" w:color="auto" w:sz="6"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10</w:t>
            </w:r>
          </w:p>
        </w:tc>
      </w:tr>
      <w:tr>
        <w:tblPrEx>
          <w:tblCellMar>
            <w:top w:w="0" w:type="dxa"/>
            <w:left w:w="108" w:type="dxa"/>
            <w:bottom w:w="0" w:type="dxa"/>
            <w:right w:w="108" w:type="dxa"/>
          </w:tblCellMar>
        </w:tblPrEx>
        <w:trPr>
          <w:trHeight w:val="1042" w:hRule="atLeast"/>
        </w:trPr>
        <w:tc>
          <w:tcPr>
            <w:tcW w:w="610" w:type="dxa"/>
            <w:vMerge w:val="restart"/>
            <w:tcBorders>
              <w:top w:val="double" w:color="auto" w:sz="6" w:space="0"/>
              <w:left w:val="double" w:color="auto" w:sz="6" w:space="0"/>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w:t>
            </w:r>
          </w:p>
        </w:tc>
        <w:tc>
          <w:tcPr>
            <w:tcW w:w="2261" w:type="dxa"/>
            <w:vMerge w:val="restart"/>
            <w:tcBorders>
              <w:top w:val="double" w:color="auto" w:sz="6" w:space="0"/>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Meningkatkan kesejahteraan masyarakat pelaku usaha</w:t>
            </w:r>
          </w:p>
        </w:tc>
        <w:tc>
          <w:tcPr>
            <w:tcW w:w="3071" w:type="dxa"/>
            <w:vMerge w:val="restart"/>
            <w:tcBorders>
              <w:top w:val="double" w:color="auto" w:sz="6" w:space="0"/>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Meningkatnya pendapatan masyarakat pelaku usaha</w:t>
            </w:r>
          </w:p>
        </w:tc>
        <w:tc>
          <w:tcPr>
            <w:tcW w:w="366" w:type="dxa"/>
            <w:tcBorders>
              <w:top w:val="single" w:color="auto" w:sz="4" w:space="0"/>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75"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kontribusi sektor perindustrian terhadap PDRB</w:t>
            </w:r>
          </w:p>
        </w:tc>
        <w:tc>
          <w:tcPr>
            <w:tcW w:w="1219"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2,88</w:t>
            </w:r>
          </w:p>
        </w:tc>
        <w:tc>
          <w:tcPr>
            <w:tcW w:w="1219"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2,9</w:t>
            </w:r>
          </w:p>
        </w:tc>
        <w:tc>
          <w:tcPr>
            <w:tcW w:w="1219"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2,92</w:t>
            </w:r>
          </w:p>
        </w:tc>
        <w:tc>
          <w:tcPr>
            <w:tcW w:w="1219"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2,94</w:t>
            </w:r>
          </w:p>
        </w:tc>
        <w:tc>
          <w:tcPr>
            <w:tcW w:w="1118"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2,96</w:t>
            </w:r>
          </w:p>
        </w:tc>
        <w:tc>
          <w:tcPr>
            <w:tcW w:w="1219"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2,98</w:t>
            </w:r>
          </w:p>
        </w:tc>
      </w:tr>
      <w:tr>
        <w:tblPrEx>
          <w:tblCellMar>
            <w:top w:w="0" w:type="dxa"/>
            <w:left w:w="108" w:type="dxa"/>
            <w:bottom w:w="0" w:type="dxa"/>
            <w:right w:w="108" w:type="dxa"/>
          </w:tblCellMar>
        </w:tblPrEx>
        <w:trPr>
          <w:trHeight w:val="1042" w:hRule="atLeast"/>
        </w:trPr>
        <w:tc>
          <w:tcPr>
            <w:tcW w:w="610"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6"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75"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kontribusi sektor perdagangan terhadap PDRB</w:t>
            </w:r>
          </w:p>
        </w:tc>
        <w:tc>
          <w:tcPr>
            <w:tcW w:w="121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7,86</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7,88</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7,9</w:t>
            </w:r>
          </w:p>
        </w:tc>
        <w:tc>
          <w:tcPr>
            <w:tcW w:w="1219"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7,92</w:t>
            </w:r>
          </w:p>
        </w:tc>
        <w:tc>
          <w:tcPr>
            <w:tcW w:w="1118"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7,94</w:t>
            </w:r>
          </w:p>
        </w:tc>
        <w:tc>
          <w:tcPr>
            <w:tcW w:w="1219"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7,96</w:t>
            </w:r>
          </w:p>
        </w:tc>
      </w:tr>
      <w:tr>
        <w:tblPrEx>
          <w:tblCellMar>
            <w:top w:w="0" w:type="dxa"/>
            <w:left w:w="108" w:type="dxa"/>
            <w:bottom w:w="0" w:type="dxa"/>
            <w:right w:w="108" w:type="dxa"/>
          </w:tblCellMar>
        </w:tblPrEx>
        <w:trPr>
          <w:trHeight w:val="885" w:hRule="atLeast"/>
        </w:trPr>
        <w:tc>
          <w:tcPr>
            <w:tcW w:w="610"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6"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75"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Pertumbuhan jumlah industri kecil dan menengah</w:t>
            </w:r>
          </w:p>
        </w:tc>
        <w:tc>
          <w:tcPr>
            <w:tcW w:w="121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1.227</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1.350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1.400</w:t>
            </w:r>
          </w:p>
        </w:tc>
        <w:tc>
          <w:tcPr>
            <w:tcW w:w="111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1.450</w:t>
            </w:r>
          </w:p>
        </w:tc>
        <w:tc>
          <w:tcPr>
            <w:tcW w:w="1219"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1.500</w:t>
            </w:r>
          </w:p>
        </w:tc>
      </w:tr>
      <w:tr>
        <w:tblPrEx>
          <w:tblCellMar>
            <w:top w:w="0" w:type="dxa"/>
            <w:left w:w="108" w:type="dxa"/>
            <w:bottom w:w="0" w:type="dxa"/>
            <w:right w:w="108" w:type="dxa"/>
          </w:tblCellMar>
        </w:tblPrEx>
        <w:trPr>
          <w:trHeight w:val="796" w:hRule="atLeast"/>
        </w:trPr>
        <w:tc>
          <w:tcPr>
            <w:tcW w:w="610"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6"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75"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xml:space="preserve">Persentase IKM yang berkembang modal usaha dan tenaga kerja </w:t>
            </w:r>
          </w:p>
        </w:tc>
        <w:tc>
          <w:tcPr>
            <w:tcW w:w="121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n/a</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0,67</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1,73</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4,48</w:t>
            </w:r>
          </w:p>
        </w:tc>
        <w:tc>
          <w:tcPr>
            <w:tcW w:w="111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11,59</w:t>
            </w:r>
          </w:p>
        </w:tc>
        <w:tc>
          <w:tcPr>
            <w:tcW w:w="1219"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30</w:t>
            </w:r>
          </w:p>
        </w:tc>
      </w:tr>
      <w:tr>
        <w:tblPrEx>
          <w:tblCellMar>
            <w:top w:w="0" w:type="dxa"/>
            <w:left w:w="108" w:type="dxa"/>
            <w:bottom w:w="0" w:type="dxa"/>
            <w:right w:w="108" w:type="dxa"/>
          </w:tblCellMar>
        </w:tblPrEx>
        <w:trPr>
          <w:trHeight w:val="1180" w:hRule="atLeast"/>
        </w:trPr>
        <w:tc>
          <w:tcPr>
            <w:tcW w:w="610"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6"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3275"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xml:space="preserve">Persentase IKM yang terdaftar pada Sistem </w:t>
            </w:r>
            <w:r>
              <w:rPr>
                <w:rFonts w:ascii="Bookman Old Style" w:hAnsi="Bookman Old Style" w:eastAsia="Times New Roman" w:cs="Tahoma"/>
                <w:color w:val="000000" w:themeColor="text1"/>
                <w:sz w:val="18"/>
                <w:szCs w:val="18"/>
                <w14:textFill>
                  <w14:solidFill>
                    <w14:schemeClr w14:val="tx1"/>
                  </w14:solidFill>
                </w14:textFill>
              </w:rPr>
              <w:br w:type="textWrapping"/>
            </w:r>
            <w:r>
              <w:rPr>
                <w:rFonts w:ascii="Bookman Old Style" w:hAnsi="Bookman Old Style" w:eastAsia="Times New Roman" w:cs="Tahoma"/>
                <w:color w:val="000000" w:themeColor="text1"/>
                <w:sz w:val="18"/>
                <w:szCs w:val="18"/>
                <w14:textFill>
                  <w14:solidFill>
                    <w14:schemeClr w14:val="tx1"/>
                  </w14:solidFill>
                </w14:textFill>
              </w:rPr>
              <w:t>Informasi nasional</w:t>
            </w:r>
          </w:p>
        </w:tc>
        <w:tc>
          <w:tcPr>
            <w:tcW w:w="121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394" w:hRule="atLeast"/>
        </w:trPr>
        <w:tc>
          <w:tcPr>
            <w:tcW w:w="610" w:type="dxa"/>
            <w:vMerge w:val="continue"/>
            <w:tcBorders>
              <w:top w:val="double" w:color="auto" w:sz="6" w:space="0"/>
              <w:left w:val="double" w:color="auto" w:sz="6"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61"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071"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6"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w:t>
            </w:r>
          </w:p>
        </w:tc>
        <w:tc>
          <w:tcPr>
            <w:tcW w:w="3275"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xml:space="preserve">Cakupan bina kelompok pengrajin </w:t>
            </w:r>
          </w:p>
        </w:tc>
        <w:tc>
          <w:tcPr>
            <w:tcW w:w="121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8"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9"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bl>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tbl>
      <w:tblPr>
        <w:tblStyle w:val="4"/>
        <w:tblW w:w="16838" w:type="dxa"/>
        <w:tblInd w:w="261" w:type="dxa"/>
        <w:tblLayout w:type="autofit"/>
        <w:tblCellMar>
          <w:top w:w="0" w:type="dxa"/>
          <w:left w:w="108" w:type="dxa"/>
          <w:bottom w:w="0" w:type="dxa"/>
          <w:right w:w="108" w:type="dxa"/>
        </w:tblCellMar>
      </w:tblPr>
      <w:tblGrid>
        <w:gridCol w:w="606"/>
        <w:gridCol w:w="2248"/>
        <w:gridCol w:w="2298"/>
        <w:gridCol w:w="363"/>
        <w:gridCol w:w="4150"/>
        <w:gridCol w:w="1212"/>
        <w:gridCol w:w="1212"/>
        <w:gridCol w:w="1212"/>
        <w:gridCol w:w="1212"/>
        <w:gridCol w:w="1111"/>
        <w:gridCol w:w="1214"/>
      </w:tblGrid>
      <w:tr>
        <w:tblPrEx>
          <w:tblCellMar>
            <w:top w:w="0" w:type="dxa"/>
            <w:left w:w="108" w:type="dxa"/>
            <w:bottom w:w="0" w:type="dxa"/>
            <w:right w:w="108" w:type="dxa"/>
          </w:tblCellMar>
        </w:tblPrEx>
        <w:trPr>
          <w:trHeight w:val="386" w:hRule="atLeast"/>
        </w:trPr>
        <w:tc>
          <w:tcPr>
            <w:tcW w:w="606" w:type="dxa"/>
            <w:vMerge w:val="restart"/>
            <w:tcBorders>
              <w:top w:val="double" w:color="auto" w:sz="6" w:space="0"/>
              <w:left w:val="double" w:color="auto" w:sz="6" w:space="0"/>
              <w:bottom w:val="single" w:color="000000" w:sz="4" w:space="0"/>
              <w:right w:val="nil"/>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No</w:t>
            </w:r>
          </w:p>
        </w:tc>
        <w:tc>
          <w:tcPr>
            <w:tcW w:w="2248"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Tujuan</w:t>
            </w:r>
          </w:p>
        </w:tc>
        <w:tc>
          <w:tcPr>
            <w:tcW w:w="2298"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Sasaran</w:t>
            </w:r>
          </w:p>
        </w:tc>
        <w:tc>
          <w:tcPr>
            <w:tcW w:w="4513" w:type="dxa"/>
            <w:gridSpan w:val="2"/>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Indikator Tujuan / Sasaran</w:t>
            </w:r>
          </w:p>
        </w:tc>
        <w:tc>
          <w:tcPr>
            <w:tcW w:w="7173" w:type="dxa"/>
            <w:gridSpan w:val="6"/>
            <w:tcBorders>
              <w:top w:val="double" w:color="auto" w:sz="6" w:space="0"/>
              <w:left w:val="nil"/>
              <w:bottom w:val="single" w:color="auto" w:sz="4" w:space="0"/>
              <w:right w:val="double" w:color="000000"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Target Kinerja Tujuan/Sasaran pada Tahun ke-</w:t>
            </w:r>
          </w:p>
        </w:tc>
      </w:tr>
      <w:tr>
        <w:tblPrEx>
          <w:tblCellMar>
            <w:top w:w="0" w:type="dxa"/>
            <w:left w:w="108" w:type="dxa"/>
            <w:bottom w:w="0" w:type="dxa"/>
            <w:right w:w="108" w:type="dxa"/>
          </w:tblCellMar>
        </w:tblPrEx>
        <w:trPr>
          <w:trHeight w:val="362" w:hRule="atLeast"/>
        </w:trPr>
        <w:tc>
          <w:tcPr>
            <w:tcW w:w="606" w:type="dxa"/>
            <w:vMerge w:val="continue"/>
            <w:tcBorders>
              <w:top w:val="double" w:color="auto" w:sz="6" w:space="0"/>
              <w:left w:val="double" w:color="auto" w:sz="6" w:space="0"/>
              <w:bottom w:val="single" w:color="000000" w:sz="4" w:space="0"/>
              <w:right w:val="nil"/>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4513" w:type="dxa"/>
            <w:gridSpan w:val="2"/>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18"/>
                <w:szCs w:val="18"/>
                <w14:textFill>
                  <w14:solidFill>
                    <w14:schemeClr w14:val="tx1"/>
                  </w14:solidFill>
                </w14:textFill>
              </w:rPr>
            </w:pPr>
          </w:p>
        </w:tc>
        <w:tc>
          <w:tcPr>
            <w:tcW w:w="12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2021</w:t>
            </w:r>
          </w:p>
        </w:tc>
        <w:tc>
          <w:tcPr>
            <w:tcW w:w="12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2022</w:t>
            </w:r>
          </w:p>
        </w:tc>
        <w:tc>
          <w:tcPr>
            <w:tcW w:w="12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2023</w:t>
            </w:r>
          </w:p>
        </w:tc>
        <w:tc>
          <w:tcPr>
            <w:tcW w:w="121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2024</w:t>
            </w:r>
          </w:p>
        </w:tc>
        <w:tc>
          <w:tcPr>
            <w:tcW w:w="111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2025</w:t>
            </w:r>
          </w:p>
        </w:tc>
        <w:tc>
          <w:tcPr>
            <w:tcW w:w="1214" w:type="dxa"/>
            <w:tcBorders>
              <w:top w:val="single" w:color="auto" w:sz="4" w:space="0"/>
              <w:left w:val="single" w:color="auto" w:sz="4" w:space="0"/>
              <w:bottom w:val="single" w:color="auto" w:sz="4" w:space="0"/>
              <w:right w:val="double" w:color="auto"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2026</w:t>
            </w:r>
          </w:p>
        </w:tc>
      </w:tr>
      <w:tr>
        <w:tblPrEx>
          <w:tblCellMar>
            <w:top w:w="0" w:type="dxa"/>
            <w:left w:w="108" w:type="dxa"/>
            <w:bottom w:w="0" w:type="dxa"/>
            <w:right w:w="108" w:type="dxa"/>
          </w:tblCellMar>
        </w:tblPrEx>
        <w:trPr>
          <w:trHeight w:val="386" w:hRule="atLeast"/>
        </w:trPr>
        <w:tc>
          <w:tcPr>
            <w:tcW w:w="606" w:type="dxa"/>
            <w:tcBorders>
              <w:top w:val="nil"/>
              <w:left w:val="double" w:color="auto" w:sz="6" w:space="0"/>
              <w:bottom w:val="double" w:color="auto" w:sz="6" w:space="0"/>
              <w:right w:val="nil"/>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w:t>
            </w:r>
          </w:p>
        </w:tc>
        <w:tc>
          <w:tcPr>
            <w:tcW w:w="2248" w:type="dxa"/>
            <w:tcBorders>
              <w:top w:val="single" w:color="auto" w:sz="4" w:space="0"/>
              <w:left w:val="single" w:color="auto" w:sz="4" w:space="0"/>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2</w:t>
            </w:r>
          </w:p>
        </w:tc>
        <w:tc>
          <w:tcPr>
            <w:tcW w:w="2298"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3</w:t>
            </w:r>
          </w:p>
        </w:tc>
        <w:tc>
          <w:tcPr>
            <w:tcW w:w="4513" w:type="dxa"/>
            <w:gridSpan w:val="2"/>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4</w:t>
            </w:r>
          </w:p>
        </w:tc>
        <w:tc>
          <w:tcPr>
            <w:tcW w:w="1212"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5</w:t>
            </w:r>
          </w:p>
        </w:tc>
        <w:tc>
          <w:tcPr>
            <w:tcW w:w="1212"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6</w:t>
            </w:r>
          </w:p>
        </w:tc>
        <w:tc>
          <w:tcPr>
            <w:tcW w:w="1212"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7</w:t>
            </w:r>
          </w:p>
        </w:tc>
        <w:tc>
          <w:tcPr>
            <w:tcW w:w="1212"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8</w:t>
            </w:r>
          </w:p>
        </w:tc>
        <w:tc>
          <w:tcPr>
            <w:tcW w:w="1111"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lang w:val="en-GB"/>
                <w14:textFill>
                  <w14:solidFill>
                    <w14:schemeClr w14:val="tx1"/>
                  </w14:solidFill>
                </w14:textFill>
              </w:rPr>
              <w:t>9</w:t>
            </w:r>
          </w:p>
        </w:tc>
        <w:tc>
          <w:tcPr>
            <w:tcW w:w="1214" w:type="dxa"/>
            <w:tcBorders>
              <w:top w:val="nil"/>
              <w:left w:val="nil"/>
              <w:bottom w:val="double" w:color="auto" w:sz="6" w:space="0"/>
              <w:right w:val="double" w:color="auto" w:sz="6"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18"/>
                <w:szCs w:val="18"/>
                <w14:textFill>
                  <w14:solidFill>
                    <w14:schemeClr w14:val="tx1"/>
                  </w14:solidFill>
                </w14:textFill>
              </w:rPr>
            </w:pPr>
            <w:r>
              <w:rPr>
                <w:rFonts w:ascii="Bookman Old Style" w:hAnsi="Bookman Old Style" w:eastAsia="Times New Roman" w:cs="Tahoma"/>
                <w:b/>
                <w:bCs/>
                <w:color w:val="000000" w:themeColor="text1"/>
                <w:sz w:val="18"/>
                <w:szCs w:val="18"/>
                <w14:textFill>
                  <w14:solidFill>
                    <w14:schemeClr w14:val="tx1"/>
                  </w14:solidFill>
                </w14:textFill>
              </w:rPr>
              <w:t>10</w:t>
            </w:r>
          </w:p>
        </w:tc>
      </w:tr>
      <w:tr>
        <w:tblPrEx>
          <w:tblCellMar>
            <w:top w:w="0" w:type="dxa"/>
            <w:left w:w="108" w:type="dxa"/>
            <w:bottom w:w="0" w:type="dxa"/>
            <w:right w:w="108" w:type="dxa"/>
          </w:tblCellMar>
        </w:tblPrEx>
        <w:trPr>
          <w:trHeight w:val="758" w:hRule="atLeast"/>
        </w:trPr>
        <w:tc>
          <w:tcPr>
            <w:tcW w:w="606" w:type="dxa"/>
            <w:vMerge w:val="restart"/>
            <w:tcBorders>
              <w:top w:val="double" w:color="auto" w:sz="6" w:space="0"/>
              <w:left w:val="double" w:color="auto" w:sz="6" w:space="0"/>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4</w:t>
            </w:r>
          </w:p>
        </w:tc>
        <w:tc>
          <w:tcPr>
            <w:tcW w:w="2248" w:type="dxa"/>
            <w:vMerge w:val="restart"/>
            <w:tcBorders>
              <w:top w:val="double" w:color="auto" w:sz="6" w:space="0"/>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Meningkatkan  penguatan pasar daerah guna meningkatkan perdagangan dalam negeri</w:t>
            </w:r>
          </w:p>
        </w:tc>
        <w:tc>
          <w:tcPr>
            <w:tcW w:w="2298" w:type="dxa"/>
            <w:vMerge w:val="restart"/>
            <w:tcBorders>
              <w:top w:val="double" w:color="auto" w:sz="6" w:space="0"/>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Meningkatnya potensi, peningkatan nilai tambah, penguasaan teknologi yang berwawasan lingkungan dan berbasis potensi lokal</w:t>
            </w:r>
          </w:p>
        </w:tc>
        <w:tc>
          <w:tcPr>
            <w:tcW w:w="363" w:type="dxa"/>
            <w:tcBorders>
              <w:top w:val="single" w:color="auto" w:sz="4" w:space="0"/>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rekomendasi Izin Usaha Sektor Perdagangan yang Diterbitkan</w:t>
            </w:r>
          </w:p>
        </w:tc>
        <w:tc>
          <w:tcPr>
            <w:tcW w:w="1212"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380" w:hRule="atLeast"/>
        </w:trPr>
        <w:tc>
          <w:tcPr>
            <w:tcW w:w="606"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 xml:space="preserve">Persentase kinerja realisasi pupuk </w:t>
            </w:r>
          </w:p>
        </w:tc>
        <w:tc>
          <w:tcPr>
            <w:tcW w:w="121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860" w:hRule="atLeast"/>
        </w:trPr>
        <w:tc>
          <w:tcPr>
            <w:tcW w:w="606"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p>
        </w:tc>
        <w:tc>
          <w:tcPr>
            <w:tcW w:w="415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ketersediaan sarana prasarana perdagangan</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21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1112" w:hRule="atLeast"/>
        </w:trPr>
        <w:tc>
          <w:tcPr>
            <w:tcW w:w="606"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single" w:color="auto" w:sz="4" w:space="0"/>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barang beredar yang diawasi sesuai dengan peraturan perundang-undangan</w:t>
            </w:r>
          </w:p>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836" w:hRule="atLeast"/>
        </w:trPr>
        <w:tc>
          <w:tcPr>
            <w:tcW w:w="606"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alat UTTP bertanda tera sah yang berlaku</w:t>
            </w:r>
          </w:p>
        </w:tc>
        <w:tc>
          <w:tcPr>
            <w:tcW w:w="121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10,129</w:t>
            </w:r>
          </w:p>
        </w:tc>
        <w:tc>
          <w:tcPr>
            <w:tcW w:w="121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12,04</w:t>
            </w:r>
          </w:p>
        </w:tc>
        <w:tc>
          <w:tcPr>
            <w:tcW w:w="121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13,12</w:t>
            </w:r>
          </w:p>
        </w:tc>
        <w:tc>
          <w:tcPr>
            <w:tcW w:w="121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14,31</w:t>
            </w:r>
          </w:p>
        </w:tc>
        <w:tc>
          <w:tcPr>
            <w:tcW w:w="111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15,59</w:t>
            </w:r>
          </w:p>
        </w:tc>
        <w:tc>
          <w:tcPr>
            <w:tcW w:w="1214" w:type="dxa"/>
            <w:tcBorders>
              <w:top w:val="nil"/>
              <w:left w:val="single" w:color="auto" w:sz="4" w:space="0"/>
              <w:bottom w:val="single" w:color="auto" w:sz="4" w:space="0"/>
              <w:right w:val="double" w:color="auto" w:sz="6" w:space="0"/>
            </w:tcBorders>
            <w:shd w:val="clear" w:color="auto" w:fill="auto"/>
            <w:noWrap/>
            <w:vAlign w:val="center"/>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17</w:t>
            </w:r>
          </w:p>
        </w:tc>
      </w:tr>
      <w:tr>
        <w:tblPrEx>
          <w:tblCellMar>
            <w:top w:w="0" w:type="dxa"/>
            <w:left w:w="108" w:type="dxa"/>
            <w:bottom w:w="0" w:type="dxa"/>
            <w:right w:w="108" w:type="dxa"/>
          </w:tblCellMar>
        </w:tblPrEx>
        <w:trPr>
          <w:trHeight w:val="725" w:hRule="atLeast"/>
        </w:trPr>
        <w:tc>
          <w:tcPr>
            <w:tcW w:w="606" w:type="dxa"/>
            <w:vMerge w:val="continue"/>
            <w:tcBorders>
              <w:top w:val="double" w:color="auto" w:sz="6" w:space="0"/>
              <w:left w:val="double" w:color="auto" w:sz="6"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nil"/>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Persentase produk lokal yang dipasarkan</w:t>
            </w:r>
          </w:p>
        </w:tc>
        <w:tc>
          <w:tcPr>
            <w:tcW w:w="121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r>
        <w:tblPrEx>
          <w:tblCellMar>
            <w:top w:w="0" w:type="dxa"/>
            <w:left w:w="108" w:type="dxa"/>
            <w:bottom w:w="0" w:type="dxa"/>
            <w:right w:w="108" w:type="dxa"/>
          </w:tblCellMar>
        </w:tblPrEx>
        <w:trPr>
          <w:trHeight w:val="785" w:hRule="atLeast"/>
        </w:trPr>
        <w:tc>
          <w:tcPr>
            <w:tcW w:w="606" w:type="dxa"/>
            <w:vMerge w:val="continue"/>
            <w:tcBorders>
              <w:top w:val="double" w:color="auto" w:sz="6" w:space="0"/>
              <w:left w:val="double" w:color="auto" w:sz="6"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48"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2298" w:type="dxa"/>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p>
        </w:tc>
        <w:tc>
          <w:tcPr>
            <w:tcW w:w="363"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w:t>
            </w:r>
          </w:p>
        </w:tc>
        <w:tc>
          <w:tcPr>
            <w:tcW w:w="415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Cakupan bina kelompok Pedagang/Usaha informal</w:t>
            </w:r>
          </w:p>
        </w:tc>
        <w:tc>
          <w:tcPr>
            <w:tcW w:w="121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2"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111"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c>
          <w:tcPr>
            <w:tcW w:w="1214"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18"/>
                <w:szCs w:val="18"/>
                <w14:textFill>
                  <w14:solidFill>
                    <w14:schemeClr w14:val="tx1"/>
                  </w14:solidFill>
                </w14:textFill>
              </w:rPr>
            </w:pPr>
            <w:r>
              <w:rPr>
                <w:rFonts w:ascii="Bookman Old Style" w:hAnsi="Bookman Old Style" w:eastAsia="Times New Roman" w:cs="Tahoma"/>
                <w:color w:val="000000" w:themeColor="text1"/>
                <w:sz w:val="18"/>
                <w:szCs w:val="18"/>
                <w14:textFill>
                  <w14:solidFill>
                    <w14:schemeClr w14:val="tx1"/>
                  </w14:solidFill>
                </w14:textFill>
              </w:rPr>
              <w:t>100</w:t>
            </w:r>
          </w:p>
        </w:tc>
      </w:tr>
    </w:tbl>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Tabel 4.2.3. Perubahan Tujuan dan Sasaran Jangka Menengah Dinas Perdagangan, Koperasi dan Usaha Kecil dan Menengah</w:t>
      </w:r>
    </w:p>
    <w:tbl>
      <w:tblPr>
        <w:tblStyle w:val="4"/>
        <w:tblW w:w="16836" w:type="dxa"/>
        <w:tblInd w:w="93" w:type="dxa"/>
        <w:tblLayout w:type="fixed"/>
        <w:tblCellMar>
          <w:top w:w="0" w:type="dxa"/>
          <w:left w:w="108" w:type="dxa"/>
          <w:bottom w:w="0" w:type="dxa"/>
          <w:right w:w="108" w:type="dxa"/>
        </w:tblCellMar>
      </w:tblPr>
      <w:tblGrid>
        <w:gridCol w:w="461"/>
        <w:gridCol w:w="2480"/>
        <w:gridCol w:w="4480"/>
        <w:gridCol w:w="3100"/>
        <w:gridCol w:w="1181"/>
        <w:gridCol w:w="1167"/>
        <w:gridCol w:w="1367"/>
        <w:gridCol w:w="1350"/>
        <w:gridCol w:w="1250"/>
      </w:tblGrid>
      <w:tr>
        <w:tblPrEx>
          <w:tblCellMar>
            <w:top w:w="0" w:type="dxa"/>
            <w:left w:w="108" w:type="dxa"/>
            <w:bottom w:w="0" w:type="dxa"/>
            <w:right w:w="108" w:type="dxa"/>
          </w:tblCellMar>
        </w:tblPrEx>
        <w:trPr>
          <w:trHeight w:val="300" w:hRule="atLeast"/>
        </w:trPr>
        <w:tc>
          <w:tcPr>
            <w:tcW w:w="4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No</w:t>
            </w:r>
          </w:p>
        </w:tc>
        <w:tc>
          <w:tcPr>
            <w:tcW w:w="24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Tujuan</w:t>
            </w:r>
          </w:p>
        </w:tc>
        <w:tc>
          <w:tcPr>
            <w:tcW w:w="44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Sasaran</w:t>
            </w:r>
          </w:p>
        </w:tc>
        <w:tc>
          <w:tcPr>
            <w:tcW w:w="31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Indikator Tujuan / Sasaran</w:t>
            </w:r>
          </w:p>
        </w:tc>
        <w:tc>
          <w:tcPr>
            <w:tcW w:w="6315" w:type="dxa"/>
            <w:gridSpan w:val="5"/>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Target Kinerja Tujuan/Sasaran pada Tahun ke-</w:t>
            </w:r>
          </w:p>
        </w:tc>
      </w:tr>
      <w:tr>
        <w:tblPrEx>
          <w:tblCellMar>
            <w:top w:w="0" w:type="dxa"/>
            <w:left w:w="108" w:type="dxa"/>
            <w:bottom w:w="0" w:type="dxa"/>
            <w:right w:w="108" w:type="dxa"/>
          </w:tblCellMar>
        </w:tblPrEx>
        <w:trPr>
          <w:trHeight w:val="300" w:hRule="atLeast"/>
        </w:trPr>
        <w:tc>
          <w:tcPr>
            <w:tcW w:w="46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color w:val="000000"/>
                <w:sz w:val="18"/>
                <w:szCs w:val="18"/>
              </w:rPr>
            </w:pPr>
          </w:p>
        </w:tc>
        <w:tc>
          <w:tcPr>
            <w:tcW w:w="24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color w:val="000000"/>
                <w:sz w:val="18"/>
                <w:szCs w:val="18"/>
              </w:rPr>
            </w:pPr>
          </w:p>
        </w:tc>
        <w:tc>
          <w:tcPr>
            <w:tcW w:w="44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color w:val="000000"/>
                <w:sz w:val="18"/>
                <w:szCs w:val="18"/>
              </w:rPr>
            </w:pPr>
          </w:p>
        </w:tc>
        <w:tc>
          <w:tcPr>
            <w:tcW w:w="310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bCs/>
                <w:color w:val="000000"/>
                <w:sz w:val="18"/>
                <w:szCs w:val="18"/>
              </w:rPr>
            </w:pPr>
          </w:p>
        </w:tc>
        <w:tc>
          <w:tcPr>
            <w:tcW w:w="118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2022</w:t>
            </w:r>
          </w:p>
        </w:tc>
        <w:tc>
          <w:tcPr>
            <w:tcW w:w="11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2023</w:t>
            </w:r>
          </w:p>
        </w:tc>
        <w:tc>
          <w:tcPr>
            <w:tcW w:w="13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2024</w:t>
            </w:r>
          </w:p>
        </w:tc>
        <w:tc>
          <w:tcPr>
            <w:tcW w:w="13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2025</w:t>
            </w:r>
          </w:p>
        </w:tc>
        <w:tc>
          <w:tcPr>
            <w:tcW w:w="12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2026</w:t>
            </w:r>
          </w:p>
        </w:tc>
      </w:tr>
      <w:tr>
        <w:tblPrEx>
          <w:tblCellMar>
            <w:top w:w="0" w:type="dxa"/>
            <w:left w:w="108" w:type="dxa"/>
            <w:bottom w:w="0" w:type="dxa"/>
            <w:right w:w="108" w:type="dxa"/>
          </w:tblCellMar>
        </w:tblPrEx>
        <w:trPr>
          <w:trHeight w:val="289" w:hRule="atLeast"/>
        </w:trPr>
        <w:tc>
          <w:tcPr>
            <w:tcW w:w="461" w:type="dxa"/>
            <w:tcBorders>
              <w:top w:val="nil"/>
              <w:left w:val="single" w:color="auto" w:sz="4" w:space="0"/>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1</w:t>
            </w:r>
          </w:p>
        </w:tc>
        <w:tc>
          <w:tcPr>
            <w:tcW w:w="2480"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2</w:t>
            </w:r>
          </w:p>
        </w:tc>
        <w:tc>
          <w:tcPr>
            <w:tcW w:w="4480"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3</w:t>
            </w:r>
          </w:p>
        </w:tc>
        <w:tc>
          <w:tcPr>
            <w:tcW w:w="3100" w:type="dxa"/>
            <w:tcBorders>
              <w:top w:val="single" w:color="auto" w:sz="4" w:space="0"/>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4</w:t>
            </w:r>
          </w:p>
        </w:tc>
        <w:tc>
          <w:tcPr>
            <w:tcW w:w="1181"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6</w:t>
            </w:r>
          </w:p>
        </w:tc>
        <w:tc>
          <w:tcPr>
            <w:tcW w:w="1167"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7</w:t>
            </w:r>
          </w:p>
        </w:tc>
        <w:tc>
          <w:tcPr>
            <w:tcW w:w="1367"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8</w:t>
            </w:r>
          </w:p>
        </w:tc>
        <w:tc>
          <w:tcPr>
            <w:tcW w:w="1350"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9</w:t>
            </w:r>
          </w:p>
        </w:tc>
        <w:tc>
          <w:tcPr>
            <w:tcW w:w="1250" w:type="dxa"/>
            <w:tcBorders>
              <w:top w:val="nil"/>
              <w:left w:val="nil"/>
              <w:bottom w:val="single" w:color="auto" w:sz="4"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10</w:t>
            </w:r>
          </w:p>
        </w:tc>
      </w:tr>
      <w:tr>
        <w:tblPrEx>
          <w:tblCellMar>
            <w:top w:w="0" w:type="dxa"/>
            <w:left w:w="108" w:type="dxa"/>
            <w:bottom w:w="0" w:type="dxa"/>
            <w:right w:w="108" w:type="dxa"/>
          </w:tblCellMar>
        </w:tblPrEx>
        <w:trPr>
          <w:trHeight w:val="799" w:hRule="atLeast"/>
        </w:trPr>
        <w:tc>
          <w:tcPr>
            <w:tcW w:w="461"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w:t>
            </w:r>
          </w:p>
        </w:tc>
        <w:tc>
          <w:tcPr>
            <w:tcW w:w="2480"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20"/>
                <w:szCs w:val="20"/>
              </w:rPr>
              <w:t>Meningkatkan kemandirian Pelaku usaha</w:t>
            </w:r>
          </w:p>
        </w:tc>
        <w:tc>
          <w:tcPr>
            <w:tcW w:w="4480" w:type="dxa"/>
            <w:vMerge w:val="restart"/>
            <w:tcBorders>
              <w:top w:val="nil"/>
              <w:left w:val="nil"/>
              <w:right w:val="single" w:color="auto" w:sz="4" w:space="0"/>
            </w:tcBorders>
            <w:shd w:val="clear" w:color="auto" w:fill="auto"/>
            <w:vAlign w:val="center"/>
          </w:tcPr>
          <w:p>
            <w:pPr>
              <w:spacing w:after="0" w:line="240" w:lineRule="auto"/>
              <w:ind w:firstLine="180" w:firstLineChars="100"/>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20"/>
                <w:szCs w:val="20"/>
              </w:rPr>
              <w:t>Meningkatnya kualitas kelembagaan, produktivitas dan daya saing serta kemandirian pelaku usaha</w:t>
            </w: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Cakupan kemandirian pelaku usaha</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11,17</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12,75</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13,98</w:t>
            </w:r>
          </w:p>
        </w:tc>
        <w:tc>
          <w:tcPr>
            <w:tcW w:w="13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15,21</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16,43</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Persentase kemandirian Koperasi dan BPR/LKM Mandiri</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xml:space="preserve">18,84 </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21,01</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22,46</w:t>
            </w:r>
          </w:p>
        </w:tc>
        <w:tc>
          <w:tcPr>
            <w:tcW w:w="13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23,91</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25,36</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xml:space="preserve">Persentase Kemandirian UMK </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3,50</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4,50</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5,50</w:t>
            </w:r>
          </w:p>
        </w:tc>
        <w:tc>
          <w:tcPr>
            <w:tcW w:w="13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6,50</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7,50</w:t>
            </w:r>
          </w:p>
        </w:tc>
      </w:tr>
      <w:tr>
        <w:tblPrEx>
          <w:tblCellMar>
            <w:top w:w="0" w:type="dxa"/>
            <w:left w:w="108" w:type="dxa"/>
            <w:bottom w:w="0" w:type="dxa"/>
            <w:right w:w="108" w:type="dxa"/>
          </w:tblCellMar>
        </w:tblPrEx>
        <w:trPr>
          <w:trHeight w:val="799" w:hRule="atLeast"/>
        </w:trPr>
        <w:tc>
          <w:tcPr>
            <w:tcW w:w="461"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2</w:t>
            </w:r>
          </w:p>
        </w:tc>
        <w:tc>
          <w:tcPr>
            <w:tcW w:w="2480"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20"/>
                <w:szCs w:val="20"/>
              </w:rPr>
              <w:t>Meningkatkan  penguatan pasar daerah guna meningkatkan perdagangan dalam negeri</w:t>
            </w:r>
          </w:p>
        </w:tc>
        <w:tc>
          <w:tcPr>
            <w:tcW w:w="4480" w:type="dxa"/>
            <w:vMerge w:val="restart"/>
            <w:tcBorders>
              <w:top w:val="nil"/>
              <w:left w:val="nil"/>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20"/>
                <w:szCs w:val="20"/>
              </w:rPr>
            </w:pPr>
            <w:r>
              <w:rPr>
                <w:rFonts w:ascii="Bookman Old Style" w:hAnsi="Bookman Old Style" w:eastAsia="Times New Roman" w:cs="Calibri"/>
                <w:color w:val="000000"/>
                <w:sz w:val="20"/>
                <w:szCs w:val="20"/>
              </w:rPr>
              <w:t> </w:t>
            </w:r>
          </w:p>
          <w:p>
            <w:pPr>
              <w:spacing w:after="0" w:line="240" w:lineRule="auto"/>
              <w:rPr>
                <w:rFonts w:ascii="Bookman Old Style" w:hAnsi="Bookman Old Style" w:eastAsia="Times New Roman" w:cs="Calibri"/>
                <w:color w:val="000000"/>
                <w:sz w:val="20"/>
                <w:szCs w:val="20"/>
              </w:rPr>
            </w:pPr>
            <w:r>
              <w:rPr>
                <w:rFonts w:ascii="Bookman Old Style" w:hAnsi="Bookman Old Style" w:eastAsia="Times New Roman" w:cs="Calibri"/>
                <w:color w:val="000000"/>
                <w:sz w:val="20"/>
                <w:szCs w:val="20"/>
              </w:rPr>
              <w:t>Meningkatnya potensi keersediaan fasilitas perdagangan  dan penguatan pengawasan perdagangan.</w:t>
            </w: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Persentase Kontribusi sektor perdagangan terhadap PDRB</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7,88</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7,91</w:t>
            </w:r>
          </w:p>
        </w:tc>
        <w:tc>
          <w:tcPr>
            <w:tcW w:w="136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7,92</w:t>
            </w:r>
          </w:p>
        </w:tc>
        <w:tc>
          <w:tcPr>
            <w:tcW w:w="135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7,94</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7,96</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Persentase Fasilitas Perdagangan yang memenuhi standar</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56,25</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62,5</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68,75</w:t>
            </w:r>
          </w:p>
        </w:tc>
        <w:tc>
          <w:tcPr>
            <w:tcW w:w="13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75</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81,25</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Persentase terkendalinya harga komoditas perdagangan</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18</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18</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18</w:t>
            </w:r>
          </w:p>
        </w:tc>
        <w:tc>
          <w:tcPr>
            <w:tcW w:w="13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18</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18</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Kecukupan Komoditas Perdagangan</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100</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100</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100</w:t>
            </w:r>
          </w:p>
        </w:tc>
        <w:tc>
          <w:tcPr>
            <w:tcW w:w="13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100</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100</w:t>
            </w:r>
          </w:p>
        </w:tc>
      </w:tr>
      <w:tr>
        <w:tblPrEx>
          <w:tblCellMar>
            <w:top w:w="0" w:type="dxa"/>
            <w:left w:w="108" w:type="dxa"/>
            <w:bottom w:w="0" w:type="dxa"/>
            <w:right w:w="108" w:type="dxa"/>
          </w:tblCellMar>
        </w:tblPrEx>
        <w:trPr>
          <w:trHeight w:val="782" w:hRule="atLeast"/>
        </w:trPr>
        <w:tc>
          <w:tcPr>
            <w:tcW w:w="461"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w:t>
            </w:r>
          </w:p>
        </w:tc>
        <w:tc>
          <w:tcPr>
            <w:tcW w:w="2480" w:type="dxa"/>
            <w:vMerge w:val="restart"/>
            <w:tcBorders>
              <w:top w:val="nil"/>
              <w:left w:val="single" w:color="auto" w:sz="4"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20"/>
                <w:szCs w:val="20"/>
              </w:rPr>
              <w:t>Mewujudkan reformasi birokrasi perangkat  daerah</w:t>
            </w:r>
          </w:p>
        </w:tc>
        <w:tc>
          <w:tcPr>
            <w:tcW w:w="4480" w:type="dxa"/>
            <w:tcBorders>
              <w:top w:val="nil"/>
              <w:left w:val="nil"/>
              <w:bottom w:val="single" w:color="auto" w:sz="4" w:space="0"/>
              <w:right w:val="single" w:color="auto" w:sz="4" w:space="0"/>
            </w:tcBorders>
            <w:shd w:val="clear" w:color="auto" w:fill="auto"/>
            <w:vAlign w:val="center"/>
          </w:tcPr>
          <w:p>
            <w:pPr>
              <w:spacing w:before="60" w:beforeAutospacing="0" w:after="60" w:afterAutospacing="0" w:line="276" w:lineRule="auto"/>
              <w:rPr>
                <w:rFonts w:ascii="Bookman Old Style" w:hAnsi="Bookman Old Style" w:eastAsia="Times New Roman" w:cs="Tahoma"/>
                <w:color w:val="000000" w:themeColor="text1"/>
                <w:sz w:val="20"/>
                <w:szCs w:val="20"/>
                <w:lang w:val="id-ID" w:eastAsia="id-ID"/>
                <w14:textFill>
                  <w14:solidFill>
                    <w14:schemeClr w14:val="tx1"/>
                  </w14:solidFill>
                </w14:textFill>
              </w:rPr>
            </w:pPr>
            <w:r>
              <w:rPr>
                <w:rFonts w:ascii="Bookman Old Style" w:hAnsi="Bookman Old Style" w:eastAsia="Times New Roman" w:cs="Tahoma"/>
                <w:color w:val="000000" w:themeColor="text1"/>
                <w:sz w:val="20"/>
                <w:szCs w:val="20"/>
                <w:lang w:eastAsia="id-ID"/>
                <w14:textFill>
                  <w14:solidFill>
                    <w14:schemeClr w14:val="tx1"/>
                  </w14:solidFill>
                </w14:textFill>
              </w:rPr>
              <w:t>Meningkatkan Kepercayaan Masyarakat terhadap Pelayanan Perangkat Daerah</w:t>
            </w:r>
          </w:p>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Indeks Reformasi birokrasi perangkat daerah</w:t>
            </w:r>
          </w:p>
        </w:tc>
        <w:tc>
          <w:tcPr>
            <w:tcW w:w="118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66 (B)</w:t>
            </w:r>
          </w:p>
        </w:tc>
        <w:tc>
          <w:tcPr>
            <w:tcW w:w="11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70 (B)</w:t>
            </w:r>
          </w:p>
        </w:tc>
        <w:tc>
          <w:tcPr>
            <w:tcW w:w="136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74 (B)</w:t>
            </w:r>
          </w:p>
        </w:tc>
        <w:tc>
          <w:tcPr>
            <w:tcW w:w="13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78 (B)</w:t>
            </w:r>
          </w:p>
        </w:tc>
        <w:tc>
          <w:tcPr>
            <w:tcW w:w="125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82 (B)</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restart"/>
            <w:tcBorders>
              <w:top w:val="single" w:color="auto" w:sz="4" w:space="0"/>
              <w:left w:val="nil"/>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Nilai SAKIP perangkat daerah</w:t>
            </w:r>
          </w:p>
        </w:tc>
        <w:tc>
          <w:tcPr>
            <w:tcW w:w="118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65 (B)</w:t>
            </w:r>
          </w:p>
        </w:tc>
        <w:tc>
          <w:tcPr>
            <w:tcW w:w="116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70 (BB)</w:t>
            </w:r>
          </w:p>
        </w:tc>
        <w:tc>
          <w:tcPr>
            <w:tcW w:w="136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75 (BB)</w:t>
            </w:r>
          </w:p>
        </w:tc>
        <w:tc>
          <w:tcPr>
            <w:tcW w:w="135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80 (A)</w:t>
            </w:r>
          </w:p>
        </w:tc>
        <w:tc>
          <w:tcPr>
            <w:tcW w:w="125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80 (A)</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Laporan Keuangan OPD sesuai Standar Akuntansi Pemerintahan</w:t>
            </w:r>
          </w:p>
        </w:tc>
        <w:tc>
          <w:tcPr>
            <w:tcW w:w="1181" w:type="dxa"/>
            <w:tcBorders>
              <w:top w:val="nil"/>
              <w:left w:val="nil"/>
              <w:bottom w:val="nil"/>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sesuai</w:t>
            </w:r>
          </w:p>
        </w:tc>
        <w:tc>
          <w:tcPr>
            <w:tcW w:w="1167" w:type="dxa"/>
            <w:tcBorders>
              <w:top w:val="nil"/>
              <w:left w:val="nil"/>
              <w:bottom w:val="nil"/>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sesuai</w:t>
            </w:r>
          </w:p>
        </w:tc>
        <w:tc>
          <w:tcPr>
            <w:tcW w:w="1367" w:type="dxa"/>
            <w:tcBorders>
              <w:top w:val="nil"/>
              <w:left w:val="nil"/>
              <w:bottom w:val="nil"/>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sesuai</w:t>
            </w:r>
          </w:p>
        </w:tc>
        <w:tc>
          <w:tcPr>
            <w:tcW w:w="1350" w:type="dxa"/>
            <w:tcBorders>
              <w:top w:val="nil"/>
              <w:left w:val="nil"/>
              <w:bottom w:val="nil"/>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sesuai</w:t>
            </w:r>
          </w:p>
        </w:tc>
        <w:tc>
          <w:tcPr>
            <w:tcW w:w="1250" w:type="dxa"/>
            <w:tcBorders>
              <w:top w:val="nil"/>
              <w:left w:val="nil"/>
              <w:bottom w:val="nil"/>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Sesuai</w:t>
            </w:r>
          </w:p>
        </w:tc>
      </w:tr>
      <w:tr>
        <w:tblPrEx>
          <w:tblCellMar>
            <w:top w:w="0" w:type="dxa"/>
            <w:left w:w="108" w:type="dxa"/>
            <w:bottom w:w="0" w:type="dxa"/>
            <w:right w:w="108" w:type="dxa"/>
          </w:tblCellMar>
        </w:tblPrEx>
        <w:trPr>
          <w:trHeight w:val="799" w:hRule="atLeast"/>
        </w:trPr>
        <w:tc>
          <w:tcPr>
            <w:tcW w:w="461"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2480" w:type="dxa"/>
            <w:vMerge w:val="continue"/>
            <w:tcBorders>
              <w:top w:val="nil"/>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color w:val="000000"/>
                <w:sz w:val="18"/>
                <w:szCs w:val="18"/>
              </w:rPr>
            </w:pPr>
          </w:p>
        </w:tc>
        <w:tc>
          <w:tcPr>
            <w:tcW w:w="4480" w:type="dxa"/>
            <w:vMerge w:val="continue"/>
            <w:tcBorders>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Calibri"/>
                <w:color w:val="000000"/>
                <w:sz w:val="18"/>
                <w:szCs w:val="18"/>
              </w:rPr>
            </w:pPr>
          </w:p>
        </w:tc>
        <w:tc>
          <w:tcPr>
            <w:tcW w:w="3100" w:type="dxa"/>
            <w:tcBorders>
              <w:top w:val="single" w:color="auto" w:sz="4" w:space="0"/>
              <w:left w:val="nil"/>
              <w:bottom w:val="single" w:color="auto" w:sz="4" w:space="0"/>
              <w:right w:val="nil"/>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Indeks kepuasan masyarakat terhadap pelayanan perangkat daerah</w:t>
            </w:r>
          </w:p>
        </w:tc>
        <w:tc>
          <w:tcPr>
            <w:tcW w:w="118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80 (B)</w:t>
            </w:r>
          </w:p>
        </w:tc>
        <w:tc>
          <w:tcPr>
            <w:tcW w:w="116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82 (B)</w:t>
            </w:r>
          </w:p>
        </w:tc>
        <w:tc>
          <w:tcPr>
            <w:tcW w:w="136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84 (B)</w:t>
            </w:r>
          </w:p>
        </w:tc>
        <w:tc>
          <w:tcPr>
            <w:tcW w:w="135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86 (B)</w:t>
            </w:r>
          </w:p>
        </w:tc>
        <w:tc>
          <w:tcPr>
            <w:tcW w:w="125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88 (B)</w:t>
            </w:r>
          </w:p>
        </w:tc>
      </w:tr>
    </w:tbl>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sectPr>
          <w:pgSz w:w="20160" w:h="12240" w:orient="landscape"/>
          <w:pgMar w:top="1134" w:right="2098" w:bottom="1701" w:left="1134" w:header="720" w:footer="2268" w:gutter="0"/>
          <w:cols w:space="720" w:num="1"/>
          <w:docGrid w:linePitch="326" w:charSpace="0"/>
        </w:sect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V</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STRATEGI DAN ARAH KEBIJAKAN  </w:t>
      </w:r>
    </w:p>
    <w:p>
      <w:pPr>
        <w:tabs>
          <w:tab w:val="left" w:pos="1080"/>
          <w:tab w:val="left" w:pos="1418"/>
          <w:tab w:val="left" w:pos="1985"/>
          <w:tab w:val="left" w:leader="dot" w:pos="8820"/>
          <w:tab w:val="right" w:pos="9214"/>
          <w:tab w:val="right" w:pos="9360"/>
        </w:tabs>
        <w:spacing w:after="0" w:line="276"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5.1.</w:t>
      </w:r>
      <w:r>
        <w:rPr>
          <w:rFonts w:ascii="Bookman Old Style" w:hAnsi="Bookman Old Style" w:eastAsia="Times New Roman" w:cs="Tahoma"/>
          <w:b/>
          <w:color w:val="000000" w:themeColor="text1"/>
          <w:sz w:val="24"/>
          <w:szCs w:val="24"/>
          <w14:textFill>
            <w14:solidFill>
              <w14:schemeClr w14:val="tx1"/>
            </w14:solidFill>
          </w14:textFill>
        </w:rPr>
        <w:tab/>
      </w:r>
      <w:r>
        <w:rPr>
          <w:rFonts w:ascii="Bookman Old Style" w:hAnsi="Bookman Old Style" w:eastAsia="Times New Roman" w:cs="Tahoma"/>
          <w:b/>
          <w:color w:val="000000" w:themeColor="text1"/>
          <w:sz w:val="24"/>
          <w:szCs w:val="24"/>
          <w14:textFill>
            <w14:solidFill>
              <w14:schemeClr w14:val="tx1"/>
            </w14:solidFill>
          </w14:textFill>
        </w:rPr>
        <w:t xml:space="preserve">Strategi </w:t>
      </w:r>
    </w:p>
    <w:p>
      <w:pPr>
        <w:spacing w:after="0" w:line="360" w:lineRule="auto"/>
        <w:ind w:left="720"/>
        <w:contextualSpacing/>
        <w:jc w:val="both"/>
        <w:rPr>
          <w:rFonts w:ascii="Bookman Old Style" w:hAnsi="Bookman Old Style" w:eastAsia="Times New Roman" w:cs="Tahoma"/>
          <w:color w:val="000000" w:themeColor="text1"/>
          <w:sz w:val="10"/>
          <w:szCs w:val="10"/>
          <w14:textFill>
            <w14:solidFill>
              <w14:schemeClr w14:val="tx1"/>
            </w14:solidFill>
          </w14:textFill>
        </w:rPr>
      </w:pPr>
    </w:p>
    <w:p>
      <w:pPr>
        <w:tabs>
          <w:tab w:val="left" w:pos="1134"/>
          <w:tab w:val="left" w:pos="1701"/>
        </w:tabs>
        <w:spacing w:after="0" w:line="360" w:lineRule="auto"/>
        <w:ind w:left="709" w:firstLine="425"/>
        <w:jc w:val="both"/>
        <w:rPr>
          <w:rFonts w:ascii="Bookman Old Style" w:hAnsi="Bookman Old Style" w:eastAsia="Times New Roman" w:cs="Tahoma"/>
          <w:i/>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Rumusan strategi juga merupakan langkah-langkah yang berisikan program-program indikatif untuk mewujudkan visi dan misi, yang selanjutnya diperjelas dengan serangkaian arah kebijakan. Penetapan strategi dilakukan untuk menjawab cara pencapaian sasaran-sasaran pembangunan dan jangka waktu pencapaian sasaran-sasaran tersebut. Sebuah strategi dapat dilakukan untuk menjawab satu sasaran pembangunan ataupun lebih dari satu sasaran pembangunan, dengan mempertimbangkan aspek efektifitas dan efisiensi pencapaian target sasaran.</w:t>
      </w:r>
    </w:p>
    <w:p>
      <w:pPr>
        <w:tabs>
          <w:tab w:val="left" w:pos="1701"/>
        </w:tabs>
        <w:spacing w:after="0" w:line="360" w:lineRule="auto"/>
        <w:ind w:left="709" w:firstLine="425"/>
        <w:jc w:val="both"/>
        <w:rPr>
          <w:rFonts w:ascii="Bookman Old Style" w:hAnsi="Bookman Old Style" w:eastAsia="Times New Roman" w:cs="Tahoma"/>
          <w:i/>
          <w:color w:val="000000" w:themeColor="text1"/>
          <w:sz w:val="24"/>
          <w:szCs w:val="24"/>
          <w:lang w:val="fi-FI"/>
          <w14:textFill>
            <w14:solidFill>
              <w14:schemeClr w14:val="tx1"/>
            </w14:solidFill>
          </w14:textFill>
        </w:rPr>
      </w:pP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Melalui</w:t>
      </w:r>
      <w:r>
        <w:rPr>
          <w:rFonts w:ascii="Bookman Old Style" w:hAnsi="Bookman Old Style" w:eastAsia="Times New Roman" w:cs="Tahoma"/>
          <w:i/>
          <w:color w:val="000000" w:themeColor="text1"/>
          <w:sz w:val="24"/>
          <w:szCs w:val="24"/>
          <w:lang w:val="fi-FI"/>
          <w14:textFill>
            <w14:solidFill>
              <w14:schemeClr w14:val="tx1"/>
            </w14:solidFill>
          </w14:textFill>
        </w:rPr>
        <w:t xml:space="preserve"> </w:t>
      </w:r>
      <w:r>
        <w:rPr>
          <w:rFonts w:ascii="Bookman Old Style" w:hAnsi="Bookman Old Style" w:eastAsia="Times New Roman" w:cs="Tahoma"/>
          <w:color w:val="000000" w:themeColor="text1"/>
          <w:sz w:val="24"/>
          <w:szCs w:val="24"/>
          <w:lang w:val="fi-FI"/>
          <w14:textFill>
            <w14:solidFill>
              <w14:schemeClr w14:val="tx1"/>
            </w14:solidFill>
          </w14:textFill>
        </w:rPr>
        <w:t xml:space="preserve">parameter tersebut, dapat dikenali indikasi keberhasilan atau kegagalan suatu strategi sekaligus untuk menciptakan budaya ”berfikir strategik” dalam menjamin bahwa transformasi menuju pengelolaan keuangan pemerintah daerah yang lebih baik, tranparan, akuntabel dan berkomitmen terhadap kinerja, strategi harus dikendalikan dan dievaluasi </w:t>
      </w:r>
      <w:r>
        <w:rPr>
          <w:rFonts w:ascii="Bookman Old Style" w:hAnsi="Bookman Old Style" w:eastAsia="Times New Roman" w:cs="Tahoma"/>
          <w:i/>
          <w:color w:val="000000" w:themeColor="text1"/>
          <w:sz w:val="24"/>
          <w:szCs w:val="24"/>
          <w:lang w:val="fi-FI"/>
          <w14:textFill>
            <w14:solidFill>
              <w14:schemeClr w14:val="tx1"/>
            </w14:solidFill>
          </w14:textFill>
        </w:rPr>
        <w:t>(learning process).</w:t>
      </w:r>
    </w:p>
    <w:p>
      <w:pPr>
        <w:tabs>
          <w:tab w:val="left" w:pos="1701"/>
        </w:tabs>
        <w:autoSpaceDE w:val="0"/>
        <w:autoSpaceDN w:val="0"/>
        <w:adjustRightInd w:val="0"/>
        <w:spacing w:after="0" w:line="360" w:lineRule="auto"/>
        <w:ind w:left="709" w:firstLine="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Atas dasar arti dan makna strategi tersebut maka dalam rangka pencapaian tujuan dan sasaran yang ingin dicapai, maka ditetapkan strategi sebagai berikut : </w:t>
      </w:r>
    </w:p>
    <w:p>
      <w:pPr>
        <w:tabs>
          <w:tab w:val="left" w:pos="1701"/>
        </w:tabs>
        <w:autoSpaceDE w:val="0"/>
        <w:autoSpaceDN w:val="0"/>
        <w:adjustRightInd w:val="0"/>
        <w:spacing w:after="0" w:line="360" w:lineRule="auto"/>
        <w:ind w:left="709" w:firstLine="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val="fi-FI" w:eastAsia="id-ID"/>
          <w14:textFill>
            <w14:solidFill>
              <w14:schemeClr w14:val="tx1"/>
            </w14:solidFill>
          </w14:textFill>
        </w:rPr>
        <w:t xml:space="preserve"> Kebijakan strategis harus dapat m</w:t>
      </w:r>
      <w:r>
        <w:rPr>
          <w:rFonts w:ascii="Bookman Old Style" w:hAnsi="Bookman Old Style" w:eastAsia="Times New Roman" w:cs="Tahoma"/>
          <w:color w:val="000000" w:themeColor="text1"/>
          <w:sz w:val="24"/>
          <w:szCs w:val="24"/>
          <w:lang w:eastAsia="id-ID"/>
          <w14:textFill>
            <w14:solidFill>
              <w14:schemeClr w14:val="tx1"/>
            </w14:solidFill>
          </w14:textFill>
        </w:rPr>
        <w:t>eningkatan kapabilitas SDM pelaku usaha perdagangan, dan pelaku UKM yang mampu mewujudkan :</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Optimalisasi </w:t>
      </w:r>
      <w:r>
        <w:rPr>
          <w:rFonts w:ascii="Bookman Old Style" w:hAnsi="Bookman Old Style" w:eastAsia="Times New Roman" w:cs="Tahoma"/>
          <w:color w:val="000000" w:themeColor="text1"/>
          <w:sz w:val="24"/>
          <w:szCs w:val="24"/>
          <w:lang w:val="es-ES"/>
          <w14:textFill>
            <w14:solidFill>
              <w14:schemeClr w14:val="tx1"/>
            </w14:solidFill>
          </w14:textFill>
        </w:rPr>
        <w:t>peranan masyarakat dan pelaku usaha dalam mengelola SDA menjadi produk yang bermutu yang mampu bersaing dalam pasar global</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en-GB" w:eastAsia="en-GB"/>
          <w14:textFill>
            <w14:solidFill>
              <w14:schemeClr w14:val="tx1"/>
            </w14:solidFill>
          </w14:textFill>
        </w:rPr>
        <w:t>Pengembangan Koperasi dan UMKM yang maju, berdaulat dalam mendukung perekonomian daerah</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en-GB" w:eastAsia="en-GB"/>
          <w14:textFill>
            <w14:solidFill>
              <w14:schemeClr w14:val="tx1"/>
            </w14:solidFill>
          </w14:textFill>
        </w:rPr>
        <w:t>Peningkatan kualitas kelembagaan, produktivitas dan daya saing serta koperasi dan UKM</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en-GB" w:eastAsia="en-GB"/>
          <w14:textFill>
            <w14:solidFill>
              <w14:schemeClr w14:val="tx1"/>
            </w14:solidFill>
          </w14:textFill>
        </w:rPr>
        <w:t>Peningkatan pasar produk dalam negeri</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Stabilisasi harga dan ketersediaan pasokan bahan pangan</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Perwujudan konsumen berdaya dan pelaku usaha yang bertanggung jawab</w:t>
      </w:r>
    </w:p>
    <w:p>
      <w:pPr>
        <w:numPr>
          <w:ilvl w:val="0"/>
          <w:numId w:val="114"/>
        </w:numPr>
        <w:tabs>
          <w:tab w:val="left" w:pos="426"/>
          <w:tab w:val="left" w:pos="709"/>
          <w:tab w:val="left" w:pos="1134"/>
        </w:tabs>
        <w:spacing w:after="0" w:line="360" w:lineRule="auto"/>
        <w:ind w:left="1134" w:hanging="42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Peningkatan kapasitas dan peran kelembagaan ekonomi kerakyatan</w:t>
      </w:r>
    </w:p>
    <w:p>
      <w:pPr>
        <w:tabs>
          <w:tab w:val="left" w:pos="1701"/>
        </w:tabs>
        <w:spacing w:after="0" w:line="360" w:lineRule="auto"/>
        <w:ind w:left="709" w:firstLine="425"/>
        <w:jc w:val="both"/>
        <w:rPr>
          <w:rFonts w:ascii="Bookman Old Style" w:hAnsi="Bookman Old Style" w:eastAsia="Times New Roman" w:cs="Tahoma"/>
          <w:i/>
          <w:color w:val="000000" w:themeColor="text1"/>
          <w:sz w:val="24"/>
          <w:szCs w:val="24"/>
          <w:lang w:val="fi-FI"/>
          <w14:textFill>
            <w14:solidFill>
              <w14:schemeClr w14:val="tx1"/>
            </w14:solidFill>
          </w14:textFill>
        </w:rPr>
      </w:pPr>
    </w:p>
    <w:p>
      <w:pPr>
        <w:spacing w:after="0" w:line="360" w:lineRule="auto"/>
        <w:ind w:left="709" w:firstLine="720"/>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imes New Roman"/>
          <w:sz w:val="24"/>
          <w:szCs w:val="24"/>
          <w:shd w:val="clear" w:color="auto" w:fill="FFFFFF"/>
          <w:lang w:val="zh-CN"/>
        </w:rPr>
        <w:t>Untuk mewujudkan visi, melaksanakan misi mencapai tujuan dan sasaran yang telah ditetapkan, dibutuhkan strategi dalam pelaksanaannya. agar strategi yang ditetapkan dapat diterapkan secara efektif dan optimal maka perlu dilakukan analisis SWOT terhadap potensi dan faktor yang mempengaruhi baik eksternal maupun internal Dinas Perdagangan, Koperasi</w:t>
      </w:r>
      <w:r>
        <w:rPr>
          <w:rFonts w:ascii="Bookman Old Style" w:hAnsi="Bookman Old Style" w:eastAsia="Times New Roman" w:cs="Times New Roman"/>
          <w:sz w:val="24"/>
          <w:szCs w:val="24"/>
          <w:shd w:val="clear" w:color="auto" w:fill="FFFFFF"/>
        </w:rPr>
        <w:t xml:space="preserve"> dan</w:t>
      </w:r>
      <w:r>
        <w:rPr>
          <w:rFonts w:ascii="Bookman Old Style" w:hAnsi="Bookman Old Style" w:eastAsia="Times New Roman" w:cs="Times New Roman"/>
          <w:sz w:val="24"/>
          <w:szCs w:val="24"/>
          <w:shd w:val="clear" w:color="auto" w:fill="FFFFFF"/>
          <w:lang w:val="zh-CN"/>
        </w:rPr>
        <w:t xml:space="preserve"> Usaha Kecil dan Menengah. hasil analisis SWOT yang dilakukan adalah sebagai berikut :</w:t>
      </w:r>
    </w:p>
    <w:p>
      <w:pPr>
        <w:spacing w:after="0" w:line="360" w:lineRule="auto"/>
        <w:ind w:left="0" w:firstLine="447"/>
        <w:contextualSpacing/>
        <w:jc w:val="center"/>
        <w:rPr>
          <w:rFonts w:ascii="Bookman Old Style" w:hAnsi="Bookman Old Style" w:eastAsia="Times New Roman" w:cs="Times New Roman"/>
          <w:b/>
          <w:bCs/>
          <w:sz w:val="24"/>
          <w:szCs w:val="24"/>
          <w:shd w:val="clear" w:color="auto" w:fill="FFFFFF"/>
          <w:lang w:val="zh-CN"/>
        </w:rPr>
      </w:pPr>
      <w:r>
        <w:rPr>
          <w:rFonts w:ascii="Bookman Old Style" w:hAnsi="Bookman Old Style" w:eastAsia="Times New Roman" w:cs="Times New Roman"/>
          <w:b/>
          <w:bCs/>
          <w:sz w:val="24"/>
          <w:szCs w:val="24"/>
          <w:shd w:val="clear" w:color="auto" w:fill="FFFFFF"/>
          <w:lang w:val="zh-CN"/>
        </w:rPr>
        <w:t>Tabel 5.1</w:t>
      </w:r>
    </w:p>
    <w:p>
      <w:pPr>
        <w:spacing w:after="0" w:line="360" w:lineRule="auto"/>
        <w:ind w:left="0" w:firstLine="447"/>
        <w:contextualSpacing/>
        <w:jc w:val="center"/>
        <w:rPr>
          <w:rFonts w:ascii="Bookman Old Style" w:hAnsi="Bookman Old Style" w:eastAsia="Times New Roman" w:cs="Times New Roman"/>
          <w:b/>
          <w:bCs/>
          <w:sz w:val="24"/>
          <w:szCs w:val="24"/>
          <w:shd w:val="clear" w:color="auto" w:fill="FFFFFF"/>
          <w:lang w:val="zh-CN"/>
        </w:rPr>
      </w:pPr>
      <w:r>
        <w:rPr>
          <w:rFonts w:ascii="Bookman Old Style" w:hAnsi="Bookman Old Style" w:eastAsia="Times New Roman" w:cs="Times New Roman"/>
          <w:b/>
          <w:bCs/>
          <w:sz w:val="24"/>
          <w:szCs w:val="24"/>
          <w:shd w:val="clear" w:color="auto" w:fill="FFFFFF"/>
          <w:lang w:val="zh-CN"/>
        </w:rPr>
        <w:t>Analisis SWOT</w:t>
      </w:r>
    </w:p>
    <w:tbl>
      <w:tblPr>
        <w:tblStyle w:val="4"/>
        <w:tblW w:w="8647" w:type="dxa"/>
        <w:jc w:val="center"/>
        <w:tblLayout w:type="fixed"/>
        <w:tblCellMar>
          <w:top w:w="0" w:type="dxa"/>
          <w:left w:w="108" w:type="dxa"/>
          <w:bottom w:w="0" w:type="dxa"/>
          <w:right w:w="108" w:type="dxa"/>
        </w:tblCellMar>
      </w:tblPr>
      <w:tblGrid>
        <w:gridCol w:w="4111"/>
        <w:gridCol w:w="4536"/>
      </w:tblGrid>
      <w:tr>
        <w:trPr>
          <w:jc w:val="center"/>
        </w:trPr>
        <w:tc>
          <w:tcPr>
            <w:tcW w:w="4111" w:type="dxa"/>
            <w:tcBorders>
              <w:top w:val="single" w:color="000000" w:sz="4" w:space="0"/>
              <w:left w:val="single" w:color="000000" w:sz="4" w:space="0"/>
              <w:bottom w:val="single" w:color="000000" w:sz="4" w:space="0"/>
              <w:right w:val="single" w:color="000000" w:sz="4" w:space="0"/>
            </w:tcBorders>
            <w:shd w:val="clear" w:color="auto" w:fill="E5B8B7"/>
          </w:tcPr>
          <w:p>
            <w:pPr>
              <w:spacing w:after="0" w:line="360" w:lineRule="auto"/>
              <w:ind w:left="0"/>
              <w:contextualSpacing/>
              <w:jc w:val="center"/>
              <w:rPr>
                <w:rFonts w:ascii="Bookman Old Style" w:hAnsi="Bookman Old Style" w:eastAsia="Times New Roman" w:cs="Times New Roman"/>
                <w:b/>
                <w:sz w:val="10"/>
                <w:szCs w:val="24"/>
                <w:shd w:val="clear" w:color="auto" w:fill="FFFFFF"/>
                <w:lang w:val="zh-CN"/>
              </w:rPr>
            </w:pPr>
          </w:p>
          <w:p>
            <w:pPr>
              <w:spacing w:after="0" w:line="360" w:lineRule="auto"/>
              <w:ind w:left="0"/>
              <w:contextualSpacing/>
              <w:jc w:val="center"/>
              <w:rPr>
                <w:rFonts w:ascii="Bookman Old Style" w:hAnsi="Bookman Old Style" w:eastAsia="Times New Roman" w:cs="Times New Roman"/>
                <w:b/>
                <w:sz w:val="24"/>
                <w:szCs w:val="24"/>
                <w:shd w:val="clear" w:color="auto" w:fill="FFFFFF"/>
                <w:lang w:val="zh-CN"/>
              </w:rPr>
            </w:pPr>
            <w:r>
              <w:rPr>
                <w:rFonts w:ascii="Bookman Old Style" w:hAnsi="Bookman Old Style" w:eastAsia="Times New Roman" w:cs="Times New Roman"/>
                <w:b/>
                <w:sz w:val="24"/>
                <w:szCs w:val="24"/>
                <w:shd w:val="clear" w:color="auto" w:fill="F7CAAC" w:themeFill="accent2" w:themeFillTint="66"/>
                <w:lang w:val="zh-CN"/>
              </w:rPr>
              <w:t>Kekuatan (strength)</w:t>
            </w:r>
          </w:p>
        </w:tc>
        <w:tc>
          <w:tcPr>
            <w:tcW w:w="4536" w:type="dxa"/>
            <w:tcBorders>
              <w:top w:val="single" w:color="000000" w:sz="4" w:space="0"/>
              <w:left w:val="single" w:color="000000" w:sz="4" w:space="0"/>
              <w:bottom w:val="single" w:color="000000" w:sz="4" w:space="0"/>
              <w:right w:val="single" w:color="000000" w:sz="4" w:space="0"/>
            </w:tcBorders>
            <w:shd w:val="clear" w:color="auto" w:fill="E5B8B7"/>
          </w:tcPr>
          <w:p>
            <w:pPr>
              <w:spacing w:after="0" w:line="360" w:lineRule="auto"/>
              <w:ind w:left="0"/>
              <w:contextualSpacing/>
              <w:jc w:val="center"/>
              <w:rPr>
                <w:rFonts w:ascii="Bookman Old Style" w:hAnsi="Bookman Old Style" w:eastAsia="Times New Roman" w:cs="Times New Roman"/>
                <w:b/>
                <w:sz w:val="10"/>
                <w:szCs w:val="24"/>
                <w:shd w:val="clear" w:color="auto" w:fill="FFFFFF"/>
                <w:lang w:val="zh-CN"/>
              </w:rPr>
            </w:pPr>
          </w:p>
          <w:p>
            <w:pPr>
              <w:spacing w:after="0" w:line="360" w:lineRule="auto"/>
              <w:ind w:left="0"/>
              <w:contextualSpacing/>
              <w:jc w:val="center"/>
              <w:rPr>
                <w:rFonts w:ascii="Bookman Old Style" w:hAnsi="Bookman Old Style" w:eastAsia="Times New Roman" w:cs="Times New Roman"/>
                <w:b/>
                <w:sz w:val="24"/>
                <w:szCs w:val="24"/>
                <w:shd w:val="clear" w:color="auto" w:fill="FFFFFF"/>
                <w:lang w:val="zh-CN"/>
              </w:rPr>
            </w:pPr>
            <w:r>
              <w:rPr>
                <w:rFonts w:ascii="Bookman Old Style" w:hAnsi="Bookman Old Style" w:eastAsia="Times New Roman" w:cs="Times New Roman"/>
                <w:b/>
                <w:sz w:val="24"/>
                <w:szCs w:val="24"/>
                <w:shd w:val="clear" w:color="auto" w:fill="F7CAAC" w:themeFill="accent2" w:themeFillTint="66"/>
                <w:lang w:val="zh-CN"/>
              </w:rPr>
              <w:t>Kelemahan (weakness)</w:t>
            </w:r>
          </w:p>
        </w:tc>
      </w:tr>
      <w:tr>
        <w:tblPrEx>
          <w:tblCellMar>
            <w:top w:w="0" w:type="dxa"/>
            <w:left w:w="108" w:type="dxa"/>
            <w:bottom w:w="0" w:type="dxa"/>
            <w:right w:w="108" w:type="dxa"/>
          </w:tblCellMar>
        </w:tblPrEx>
        <w:trPr>
          <w:trHeight w:val="7698" w:hRule="atLeast"/>
          <w:jc w:val="center"/>
        </w:trPr>
        <w:tc>
          <w:tcPr>
            <w:tcW w:w="4111" w:type="dxa"/>
            <w:tcBorders>
              <w:top w:val="single" w:color="000000" w:sz="4" w:space="0"/>
              <w:left w:val="single" w:color="000000" w:sz="4" w:space="0"/>
              <w:bottom w:val="single" w:color="auto" w:sz="4" w:space="0"/>
              <w:right w:val="single" w:color="000000" w:sz="4" w:space="0"/>
            </w:tcBorders>
          </w:tcPr>
          <w:p>
            <w:pPr>
              <w:numPr>
                <w:ilvl w:val="0"/>
                <w:numId w:val="115"/>
              </w:numPr>
              <w:autoSpaceDE w:val="0"/>
              <w:autoSpaceDN w:val="0"/>
              <w:adjustRightInd w:val="0"/>
              <w:spacing w:after="0" w:line="360" w:lineRule="auto"/>
              <w:ind w:left="459" w:hanging="360"/>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Adanya Komitmen Bupati Terpilih</w:t>
            </w:r>
            <w:r>
              <w:rPr>
                <w:rFonts w:ascii="Bookman Old Style" w:hAnsi="Bookman Old Style" w:eastAsia="Times New Roman" w:cs="Tahoma"/>
                <w:sz w:val="24"/>
                <w:szCs w:val="24"/>
              </w:rPr>
              <w:t>.</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 xml:space="preserve">Dukungan kelembagaan pemerintah daerah yakni </w:t>
            </w:r>
            <w:r>
              <w:rPr>
                <w:rFonts w:ascii="Bookman Old Style" w:hAnsi="Bookman Old Style" w:eastAsia="Times New Roman" w:cs="Tahoma"/>
                <w:sz w:val="24"/>
                <w:szCs w:val="24"/>
              </w:rPr>
              <w:t xml:space="preserve">adanya Peraturan dan Perundang-undangan di sektor </w:t>
            </w:r>
            <w:r>
              <w:rPr>
                <w:rFonts w:ascii="Bookman Old Style" w:hAnsi="Bookman Old Style" w:eastAsia="Times New Roman" w:cs="Tahoma"/>
                <w:bCs/>
                <w:sz w:val="24"/>
                <w:szCs w:val="24"/>
              </w:rPr>
              <w:t>Perdagangan, Koperasi, Usaha Kecil dan Menengah</w:t>
            </w:r>
            <w:r>
              <w:rPr>
                <w:rFonts w:ascii="Bookman Old Style" w:hAnsi="Bookman Old Style" w:eastAsia="Times New Roman" w:cs="Tahoma"/>
                <w:sz w:val="24"/>
                <w:szCs w:val="24"/>
              </w:rPr>
              <w:t>.</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Meningkatkan Sumber Daya Manusia (SDM) Aparatur Pemerintah Daerah</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Kebijakan Pemerintah terkait penuntasan kemiskinan</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Tersedianya secara cukup sumber-sumber ekonomi daerah</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Ketersediaan sumberdaya alam yang dapat mendukung pengembangan usaha di bidang </w:t>
            </w:r>
            <w:r>
              <w:rPr>
                <w:rFonts w:ascii="Bookman Old Style" w:hAnsi="Bookman Old Style" w:eastAsia="Times New Roman" w:cs="Tahoma"/>
                <w:bCs/>
                <w:sz w:val="24"/>
                <w:szCs w:val="24"/>
              </w:rPr>
              <w:t>Perdagangan, Koperasi Usaha Kecil dan Menengah</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rPr>
            </w:pPr>
            <w:r>
              <w:rPr>
                <w:rFonts w:ascii="Bookman Old Style" w:hAnsi="Bookman Old Style" w:eastAsia="Times New Roman" w:cs="Tahoma"/>
                <w:lang w:val="sv-SE"/>
              </w:rPr>
              <w:t>Posisi Strategis SELAYAR yang berada di tengah-tengah bentang barat dan timur NKRI</w:t>
            </w:r>
          </w:p>
        </w:tc>
        <w:tc>
          <w:tcPr>
            <w:tcW w:w="4536" w:type="dxa"/>
            <w:tcBorders>
              <w:top w:val="single" w:color="000000" w:sz="4" w:space="0"/>
              <w:left w:val="single" w:color="000000" w:sz="4" w:space="0"/>
              <w:bottom w:val="single" w:color="auto" w:sz="4" w:space="0"/>
              <w:right w:val="single" w:color="000000" w:sz="4" w:space="0"/>
            </w:tcBorders>
          </w:tcPr>
          <w:p>
            <w:pPr>
              <w:numPr>
                <w:ilvl w:val="0"/>
                <w:numId w:val="116"/>
              </w:numPr>
              <w:autoSpaceDE w:val="0"/>
              <w:autoSpaceDN w:val="0"/>
              <w:adjustRightInd w:val="0"/>
              <w:spacing w:after="0" w:line="360" w:lineRule="auto"/>
              <w:ind w:left="351" w:hanging="360"/>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Masih relatif lemahnya koordinasi antar pegawai dan koordinasi dengan bidang lain di lingkungan dinas, para stakeholder dan instansi terkait.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Belum diperhatikannya aspek profesionalisme dalam seleksi dan penempatan personil serta job description.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Sarana dan prasarana sebagai pendukung yang masih kurang memadai.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Adanya keterbatasan dana (anggaran) untuk unit kerja setiap tahunnya.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Adanya jarak yang jauh antara tempat produksi dan tempat pemasaran.</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Letak geografis Kabupaten Kepulauan Selayar yang terdiri pulau-pulau yang mengakibatkan pelaksanaan kegiatan perberdayaan KUKM terlambat dan tidak tepat waktu</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Terbatasnya ketersediaan lahan yang dimiliki pemerintah daerah</w:t>
            </w:r>
          </w:p>
        </w:tc>
      </w:tr>
      <w:tr>
        <w:tblPrEx>
          <w:tblCellMar>
            <w:top w:w="0" w:type="dxa"/>
            <w:left w:w="108" w:type="dxa"/>
            <w:bottom w:w="0" w:type="dxa"/>
            <w:right w:w="108" w:type="dxa"/>
          </w:tblCellMar>
        </w:tblPrEx>
        <w:trPr>
          <w:trHeight w:val="14194" w:hRule="atLeast"/>
          <w:jc w:val="center"/>
        </w:trPr>
        <w:tc>
          <w:tcPr>
            <w:tcW w:w="4111" w:type="dxa"/>
            <w:tcBorders>
              <w:top w:val="single" w:color="auto" w:sz="4" w:space="0"/>
              <w:left w:val="single" w:color="000000" w:sz="4" w:space="0"/>
              <w:bottom w:val="single" w:color="auto" w:sz="4" w:space="0"/>
              <w:right w:val="single" w:color="000000" w:sz="4" w:space="0"/>
            </w:tcBorders>
          </w:tcPr>
          <w:p>
            <w:pPr>
              <w:autoSpaceDE w:val="0"/>
              <w:autoSpaceDN w:val="0"/>
              <w:adjustRightInd w:val="0"/>
              <w:spacing w:after="0" w:line="360" w:lineRule="auto"/>
              <w:jc w:val="both"/>
              <w:rPr>
                <w:rFonts w:ascii="Bookman Old Style" w:hAnsi="Bookman Old Style" w:eastAsia="Times New Roman" w:cs="Tahoma"/>
                <w:sz w:val="24"/>
                <w:szCs w:val="24"/>
              </w:rPr>
            </w:pP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Komposisi Penduduk didominasi penduduk usia produktif</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Tersedianya Sarana dan Prasarana yang mendukung kinerja aparatur</w:t>
            </w:r>
            <w:r>
              <w:rPr>
                <w:rFonts w:ascii="Bookman Old Style" w:hAnsi="Bookman Old Style" w:eastAsia="Times New Roman" w:cs="Tahoma"/>
                <w:sz w:val="24"/>
                <w:szCs w:val="20"/>
                <w:lang w:val="sv-SE"/>
              </w:rPr>
              <w:t xml:space="preserve"> </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Tersedianya lapangan kerja</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imes New Roman"/>
                <w:sz w:val="24"/>
                <w:szCs w:val="20"/>
              </w:rPr>
              <w:t>Product, Price, Place, Promotion dalam bisnis UMKM sesuai dengan kebutuhan yang diinginkan oleh konsumen</w:t>
            </w:r>
          </w:p>
          <w:p>
            <w:pPr>
              <w:numPr>
                <w:ilvl w:val="0"/>
                <w:numId w:val="115"/>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Adanya program prioritas pembangunan PDL, KIPT dan KEK serta dan program pendukung gerakan membangun desa mandiri</w:t>
            </w:r>
          </w:p>
          <w:p>
            <w:pPr>
              <w:spacing w:after="0" w:line="360" w:lineRule="auto"/>
              <w:ind w:left="0"/>
              <w:contextualSpacing/>
              <w:rPr>
                <w:rFonts w:ascii="Bookman Old Style" w:hAnsi="Bookman Old Style" w:eastAsia="Times New Roman" w:cs="Tahoma"/>
                <w:sz w:val="24"/>
                <w:szCs w:val="20"/>
                <w:lang w:val="sv-SE"/>
              </w:rPr>
            </w:pPr>
          </w:p>
        </w:tc>
        <w:tc>
          <w:tcPr>
            <w:tcW w:w="4536" w:type="dxa"/>
            <w:tcBorders>
              <w:top w:val="single" w:color="auto" w:sz="4" w:space="0"/>
              <w:left w:val="single" w:color="000000" w:sz="4" w:space="0"/>
              <w:bottom w:val="single" w:color="auto" w:sz="4" w:space="0"/>
              <w:right w:val="single" w:color="000000" w:sz="4" w:space="0"/>
            </w:tcBorders>
          </w:tcPr>
          <w:p>
            <w:pPr>
              <w:autoSpaceDE w:val="0"/>
              <w:autoSpaceDN w:val="0"/>
              <w:adjustRightInd w:val="0"/>
              <w:spacing w:after="0" w:line="360" w:lineRule="auto"/>
              <w:jc w:val="both"/>
              <w:rPr>
                <w:rFonts w:ascii="Bookman Old Style" w:hAnsi="Bookman Old Style" w:eastAsia="Times New Roman" w:cs="Tahoma"/>
                <w:sz w:val="24"/>
                <w:szCs w:val="24"/>
              </w:rPr>
            </w:pP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Terbatasnya kesempatan aparatur untuk mengikuti pendidikan teknis fungsional maupun struktural untuk menjadi tenaga kerja yang terampil dan ahli (menguasai secara teknis bidangnya)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Masih lemahnya data dan informasi sehingga menyulitkan dalam perencanaan </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 xml:space="preserve">Kualitas SDM Aparatur Pemerintah Daerah yang masih rendah </w:t>
            </w:r>
            <w:r>
              <w:rPr>
                <w:rFonts w:ascii="Bookman Old Style" w:hAnsi="Bookman Old Style" w:eastAsia="Times New Roman" w:cs="Tahoma"/>
                <w:sz w:val="24"/>
                <w:szCs w:val="20"/>
              </w:rPr>
              <w:t>(kualitas teknis, kompetensi,kewirausahaan dan manajemen)</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Masih terbatasnya infrastruktur utama dan pendukung kegiatan distribusi logistik</w:t>
            </w:r>
          </w:p>
          <w:p>
            <w:pPr>
              <w:numPr>
                <w:ilvl w:val="0"/>
                <w:numId w:val="116"/>
              </w:numPr>
              <w:autoSpaceDE w:val="0"/>
              <w:autoSpaceDN w:val="0"/>
              <w:adjustRightInd w:val="0"/>
              <w:spacing w:after="0" w:line="360" w:lineRule="auto"/>
              <w:ind w:left="365" w:hanging="426"/>
              <w:contextualSpacing/>
              <w:rPr>
                <w:rFonts w:ascii="Bookman Old Style" w:hAnsi="Bookman Old Style" w:eastAsia="Times New Roman" w:cs="Tahoma"/>
                <w:sz w:val="24"/>
                <w:szCs w:val="24"/>
              </w:rPr>
            </w:pPr>
            <w:r>
              <w:rPr>
                <w:rFonts w:ascii="Bookman Old Style" w:hAnsi="Bookman Old Style" w:eastAsia="Times New Roman" w:cs="Tahoma"/>
                <w:sz w:val="24"/>
                <w:szCs w:val="20"/>
              </w:rPr>
              <w:t>Masih terbatasnya akses Koperasi, UMKM,  dan Perdagangan    kepada    sumberdaya      produktif      (bahan baku, permodalan, teknologi, sarana pemasaran serta informasi pasar).</w:t>
            </w:r>
          </w:p>
          <w:p>
            <w:pPr>
              <w:numPr>
                <w:ilvl w:val="0"/>
                <w:numId w:val="116"/>
              </w:numPr>
              <w:autoSpaceDE w:val="0"/>
              <w:autoSpaceDN w:val="0"/>
              <w:adjustRightInd w:val="0"/>
              <w:spacing w:after="0" w:line="360" w:lineRule="auto"/>
              <w:ind w:left="365"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Masih kurangnya modal untuk Perdagangan, Koperasi Usaha Kecil dan Menengah.</w:t>
            </w:r>
          </w:p>
          <w:p>
            <w:pPr>
              <w:spacing w:after="0" w:line="360" w:lineRule="auto"/>
              <w:ind w:left="0"/>
              <w:contextualSpacing/>
              <w:rPr>
                <w:rFonts w:ascii="Bookman Old Style" w:hAnsi="Bookman Old Style" w:eastAsia="Times New Roman" w:cs="Tahoma"/>
                <w:sz w:val="24"/>
                <w:szCs w:val="20"/>
              </w:rPr>
            </w:pPr>
          </w:p>
        </w:tc>
      </w:tr>
    </w:tbl>
    <w:p>
      <w:pPr>
        <w:spacing w:after="0" w:line="360" w:lineRule="auto"/>
        <w:rPr>
          <w:rFonts w:ascii="Bookman Old Style" w:hAnsi="Bookman Old Style" w:eastAsia="Times New Roman" w:cs="Times New Roman"/>
          <w:b/>
          <w:sz w:val="24"/>
          <w:szCs w:val="24"/>
          <w:shd w:val="clear" w:color="auto" w:fill="FFFFFF"/>
        </w:rPr>
      </w:pPr>
    </w:p>
    <w:p>
      <w:pPr>
        <w:spacing w:after="0" w:line="360" w:lineRule="auto"/>
        <w:rPr>
          <w:rFonts w:ascii="Bookman Old Style" w:hAnsi="Bookman Old Style" w:eastAsia="Times New Roman" w:cs="Times New Roman"/>
          <w:b/>
          <w:sz w:val="24"/>
          <w:szCs w:val="24"/>
          <w:shd w:val="clear" w:color="auto" w:fill="FFFFFF"/>
        </w:rPr>
      </w:pPr>
    </w:p>
    <w:p>
      <w:pPr>
        <w:spacing w:after="0" w:line="360" w:lineRule="auto"/>
        <w:rPr>
          <w:rFonts w:ascii="Bookman Old Style" w:hAnsi="Bookman Old Style" w:eastAsia="Times New Roman" w:cs="Times New Roman"/>
          <w:b/>
          <w:sz w:val="24"/>
          <w:szCs w:val="24"/>
          <w:shd w:val="clear" w:color="auto" w:fill="FFFFFF"/>
        </w:rPr>
      </w:pPr>
    </w:p>
    <w:p>
      <w:pPr>
        <w:spacing w:after="0" w:line="360" w:lineRule="auto"/>
        <w:rPr>
          <w:rFonts w:ascii="Bookman Old Style" w:hAnsi="Bookman Old Style" w:eastAsia="Times New Roman" w:cs="Times New Roman"/>
          <w:b/>
          <w:sz w:val="24"/>
          <w:szCs w:val="24"/>
          <w:shd w:val="clear" w:color="auto" w:fill="FFFFFF"/>
        </w:rPr>
      </w:pPr>
    </w:p>
    <w:tbl>
      <w:tblPr>
        <w:tblStyle w:val="4"/>
        <w:tblW w:w="9117" w:type="dxa"/>
        <w:tblInd w:w="534" w:type="dxa"/>
        <w:tblLayout w:type="autofit"/>
        <w:tblCellMar>
          <w:top w:w="0" w:type="dxa"/>
          <w:left w:w="108" w:type="dxa"/>
          <w:bottom w:w="0" w:type="dxa"/>
          <w:right w:w="108" w:type="dxa"/>
        </w:tblCellMar>
      </w:tblPr>
      <w:tblGrid>
        <w:gridCol w:w="4526"/>
        <w:gridCol w:w="10"/>
        <w:gridCol w:w="4581"/>
      </w:tblGrid>
      <w:tr>
        <w:tc>
          <w:tcPr>
            <w:tcW w:w="4536" w:type="dxa"/>
            <w:gridSpan w:val="2"/>
            <w:tcBorders>
              <w:top w:val="single" w:color="000000" w:sz="4" w:space="0"/>
              <w:left w:val="single" w:color="000000" w:sz="4" w:space="0"/>
              <w:bottom w:val="single" w:color="000000" w:sz="4" w:space="0"/>
              <w:right w:val="single" w:color="000000" w:sz="4" w:space="0"/>
            </w:tcBorders>
            <w:shd w:val="clear" w:color="auto" w:fill="E5B8B7"/>
          </w:tcPr>
          <w:p>
            <w:pPr>
              <w:spacing w:after="0" w:line="360" w:lineRule="auto"/>
              <w:ind w:left="0"/>
              <w:contextualSpacing/>
              <w:jc w:val="center"/>
              <w:rPr>
                <w:rFonts w:ascii="Bookman Old Style" w:hAnsi="Bookman Old Style" w:eastAsia="Times New Roman" w:cs="Times New Roman"/>
                <w:b/>
                <w:sz w:val="24"/>
                <w:szCs w:val="24"/>
                <w:shd w:val="clear" w:color="auto" w:fill="FFFFFF"/>
                <w:lang w:val="zh-CN"/>
              </w:rPr>
            </w:pPr>
            <w:r>
              <w:rPr>
                <w:rFonts w:ascii="Bookman Old Style" w:hAnsi="Bookman Old Style" w:eastAsia="Times New Roman" w:cs="Times New Roman"/>
                <w:b/>
                <w:sz w:val="24"/>
                <w:szCs w:val="24"/>
                <w:shd w:val="clear" w:color="auto" w:fill="FFFFFF"/>
                <w:lang w:val="zh-CN"/>
              </w:rPr>
              <w:t>Peluang (Opportunities)</w:t>
            </w:r>
          </w:p>
        </w:tc>
        <w:tc>
          <w:tcPr>
            <w:tcW w:w="4581" w:type="dxa"/>
            <w:tcBorders>
              <w:top w:val="single" w:color="000000" w:sz="4" w:space="0"/>
              <w:left w:val="single" w:color="000000" w:sz="4" w:space="0"/>
              <w:bottom w:val="single" w:color="000000" w:sz="4" w:space="0"/>
              <w:right w:val="single" w:color="000000" w:sz="4" w:space="0"/>
            </w:tcBorders>
            <w:shd w:val="clear" w:color="auto" w:fill="E5B8B7"/>
          </w:tcPr>
          <w:p>
            <w:pPr>
              <w:spacing w:after="0" w:line="360" w:lineRule="auto"/>
              <w:ind w:left="0"/>
              <w:contextualSpacing/>
              <w:jc w:val="center"/>
              <w:rPr>
                <w:rFonts w:ascii="Bookman Old Style" w:hAnsi="Bookman Old Style" w:eastAsia="Times New Roman" w:cs="Times New Roman"/>
                <w:b/>
                <w:sz w:val="24"/>
                <w:szCs w:val="24"/>
                <w:shd w:val="clear" w:color="auto" w:fill="FFFFFF"/>
                <w:lang w:val="zh-CN"/>
              </w:rPr>
            </w:pPr>
            <w:r>
              <w:rPr>
                <w:rFonts w:ascii="Bookman Old Style" w:hAnsi="Bookman Old Style" w:eastAsia="Times New Roman" w:cs="Times New Roman"/>
                <w:b/>
                <w:sz w:val="24"/>
                <w:szCs w:val="24"/>
                <w:shd w:val="clear" w:color="auto" w:fill="FFFFFF"/>
                <w:lang w:val="zh-CN"/>
              </w:rPr>
              <w:t>Tantangan (treaths)</w:t>
            </w:r>
          </w:p>
        </w:tc>
      </w:tr>
      <w:tr>
        <w:tblPrEx>
          <w:tblCellMar>
            <w:top w:w="0" w:type="dxa"/>
            <w:left w:w="108" w:type="dxa"/>
            <w:bottom w:w="0" w:type="dxa"/>
            <w:right w:w="108" w:type="dxa"/>
          </w:tblCellMar>
        </w:tblPrEx>
        <w:trPr>
          <w:trHeight w:val="9772" w:hRule="atLeast"/>
        </w:trPr>
        <w:tc>
          <w:tcPr>
            <w:tcW w:w="4536" w:type="dxa"/>
            <w:gridSpan w:val="2"/>
            <w:tcBorders>
              <w:top w:val="single" w:color="000000" w:sz="4" w:space="0"/>
              <w:left w:val="single" w:color="auto" w:sz="4" w:space="0"/>
              <w:bottom w:val="nil"/>
              <w:right w:val="single" w:color="000000" w:sz="4" w:space="0"/>
            </w:tcBorders>
          </w:tcPr>
          <w:p>
            <w:pPr>
              <w:numPr>
                <w:ilvl w:val="0"/>
                <w:numId w:val="117"/>
              </w:numPr>
              <w:autoSpaceDE w:val="0"/>
              <w:autoSpaceDN w:val="0"/>
              <w:adjustRightInd w:val="0"/>
              <w:spacing w:after="0" w:line="360" w:lineRule="auto"/>
              <w:ind w:left="426" w:hanging="360"/>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Perdagangan, Koperasi Usaha Kecil dan Menengah dapat didorong menjadi motor penggerak perekonomian </w:t>
            </w:r>
          </w:p>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Potensi luas lahan untuk mendukung 3 pilar dan gerbang sari masih cukup besar</w:t>
            </w:r>
          </w:p>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Tersedianya jumlah penduduk sebagai tenaga kerja yang potensial yang dapat menciptakan lapangan kerja dan wirausaha melalui sektor Perdagangan, Koperasi dan Usaha Kecil dan Menengah </w:t>
            </w:r>
          </w:p>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ahoma"/>
                <w:sz w:val="24"/>
                <w:szCs w:val="20"/>
              </w:rPr>
              <w:t xml:space="preserve">Tersedianya keragaman bahan baku hasil pertanian, kehutanan dan perikanan kelautan yang bisa diolah sebagai produk unggulan dan inovatif melalui Koperasi dan Usaha Mikro Kecil Menengah </w:t>
            </w:r>
          </w:p>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ahoma"/>
                <w:sz w:val="24"/>
                <w:szCs w:val="20"/>
              </w:rPr>
              <w:t>Tingginya komitmen dan dukungan pemerintah daerah dan masyarakat terhadap pembangunan ekonomi rakyat sebagai pelaku utama dalam perekonomian daerah.</w:t>
            </w:r>
          </w:p>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ahoma"/>
                <w:sz w:val="24"/>
                <w:szCs w:val="20"/>
              </w:rPr>
              <w:t>Peran Koperasi dan UMK yang merupakan prioritas unggulan pemerintah kabupaten yang akan diutamakan dalam pembangunan lima tahun ke depan</w:t>
            </w:r>
          </w:p>
        </w:tc>
        <w:tc>
          <w:tcPr>
            <w:tcW w:w="4581" w:type="dxa"/>
            <w:tcBorders>
              <w:top w:val="single" w:color="000000" w:sz="4" w:space="0"/>
              <w:left w:val="single" w:color="000000" w:sz="4" w:space="0"/>
              <w:bottom w:val="nil"/>
              <w:right w:val="single" w:color="auto" w:sz="4" w:space="0"/>
            </w:tcBorders>
          </w:tcPr>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Adanya distorsi harga lahan saat dilakukan pembebasan lahan</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 xml:space="preserve">Masih adanya tuntutan pasar terhadap standarisasi mutu produk, Perdagangan, Koperasi dan  Usaha Kecil dan Menengah. </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Masuknya produk impor yang menyebabkan produk UKM  semakin terhimpit dan adanya tekanan persaingan</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Meningkatnya harga barang kebutuhan masyarakat</w:t>
            </w:r>
            <w:r>
              <w:rPr>
                <w:rFonts w:ascii="Bookman Old Style" w:hAnsi="Bookman Old Style" w:eastAsia="Times New Roman" w:cs="Tahoma"/>
                <w:sz w:val="24"/>
                <w:szCs w:val="24"/>
                <w:lang w:val="sv-SE"/>
              </w:rPr>
              <w:t xml:space="preserve"> </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rPr>
              <w:t>Kurang kondusifnya iklim usaha</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Banyaknya pendatang dari daerah lain yang lebih mampu mengakses sumber-sumber ekonomi yang tersedia</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4"/>
              </w:rPr>
              <w:t>Kurang lancarnya penyediaan bahan baku industri dan perdagangan.</w:t>
            </w:r>
          </w:p>
          <w:p>
            <w:pPr>
              <w:numPr>
                <w:ilvl w:val="0"/>
                <w:numId w:val="118"/>
              </w:numPr>
              <w:autoSpaceDE w:val="0"/>
              <w:autoSpaceDN w:val="0"/>
              <w:adjustRightInd w:val="0"/>
              <w:spacing w:after="0" w:line="360" w:lineRule="auto"/>
              <w:ind w:left="459" w:hanging="426"/>
              <w:contextualSpacing/>
              <w:jc w:val="both"/>
              <w:rPr>
                <w:rFonts w:ascii="Bookman Old Style" w:hAnsi="Bookman Old Style" w:eastAsia="Times New Roman" w:cs="Tahoma"/>
                <w:sz w:val="24"/>
                <w:szCs w:val="24"/>
              </w:rPr>
            </w:pPr>
            <w:r>
              <w:rPr>
                <w:rFonts w:ascii="Bookman Old Style" w:hAnsi="Bookman Old Style" w:eastAsia="Times New Roman" w:cs="Tahoma"/>
                <w:sz w:val="24"/>
                <w:szCs w:val="20"/>
                <w:lang w:val="sv-SE"/>
              </w:rPr>
              <w:t>Masih terbatasnya kegiatan investasi khususnya terkait kegiatan distribusi logistik yakni p</w:t>
            </w:r>
            <w:r>
              <w:rPr>
                <w:rFonts w:ascii="Bookman Old Style" w:hAnsi="Bookman Old Style" w:eastAsia="Times New Roman" w:cs="Tahoma"/>
                <w:sz w:val="24"/>
                <w:szCs w:val="24"/>
              </w:rPr>
              <w:t>erdagangan antar pulau terkendala sarana transportasi</w:t>
            </w:r>
          </w:p>
          <w:p>
            <w:pPr>
              <w:autoSpaceDE w:val="0"/>
              <w:autoSpaceDN w:val="0"/>
              <w:adjustRightInd w:val="0"/>
              <w:spacing w:after="0" w:line="360" w:lineRule="auto"/>
              <w:jc w:val="both"/>
              <w:rPr>
                <w:rFonts w:ascii="Bookman Old Style" w:hAnsi="Bookman Old Style" w:eastAsia="Times New Roman" w:cs="Tahoma"/>
                <w:sz w:val="24"/>
                <w:szCs w:val="24"/>
              </w:rPr>
            </w:pPr>
          </w:p>
          <w:p>
            <w:pPr>
              <w:spacing w:after="0" w:line="360" w:lineRule="auto"/>
              <w:ind w:left="0"/>
              <w:contextualSpacing/>
              <w:rPr>
                <w:rFonts w:ascii="Bookman Old Style" w:hAnsi="Bookman Old Style" w:eastAsia="Times New Roman" w:cs="Times New Roman"/>
                <w:sz w:val="24"/>
                <w:szCs w:val="24"/>
                <w:shd w:val="clear" w:color="auto" w:fill="FFFFFF"/>
                <w:lang w:val="zh-CN"/>
              </w:rPr>
            </w:pPr>
          </w:p>
        </w:tc>
      </w:tr>
      <w:tr>
        <w:tblPrEx>
          <w:tblCellMar>
            <w:top w:w="0" w:type="dxa"/>
            <w:left w:w="108" w:type="dxa"/>
            <w:bottom w:w="0" w:type="dxa"/>
            <w:right w:w="108" w:type="dxa"/>
          </w:tblCellMar>
        </w:tblPrEx>
        <w:trPr>
          <w:trHeight w:val="87" w:hRule="atLeast"/>
        </w:trPr>
        <w:tc>
          <w:tcPr>
            <w:tcW w:w="4526" w:type="dxa"/>
            <w:tcBorders>
              <w:top w:val="nil"/>
              <w:left w:val="single" w:color="auto" w:sz="4" w:space="0"/>
              <w:bottom w:val="single" w:color="auto" w:sz="4" w:space="0"/>
              <w:right w:val="nil"/>
            </w:tcBorders>
          </w:tcPr>
          <w:p>
            <w:pPr>
              <w:spacing w:after="0" w:line="360" w:lineRule="auto"/>
              <w:rPr>
                <w:rFonts w:ascii="Bookman Old Style" w:hAnsi="Bookman Old Style" w:eastAsia="Times New Roman" w:cs="Tahoma"/>
                <w:sz w:val="24"/>
                <w:szCs w:val="24"/>
              </w:rPr>
            </w:pPr>
          </w:p>
        </w:tc>
        <w:tc>
          <w:tcPr>
            <w:tcW w:w="4591" w:type="dxa"/>
            <w:gridSpan w:val="2"/>
            <w:tcBorders>
              <w:top w:val="nil"/>
              <w:left w:val="single" w:color="auto" w:sz="4" w:space="0"/>
              <w:bottom w:val="single" w:color="auto" w:sz="4" w:space="0"/>
              <w:right w:val="single" w:color="auto" w:sz="4" w:space="0"/>
            </w:tcBorders>
          </w:tcPr>
          <w:p>
            <w:pPr>
              <w:spacing w:after="0" w:line="360" w:lineRule="auto"/>
              <w:ind w:left="0"/>
              <w:contextualSpacing/>
              <w:rPr>
                <w:rFonts w:ascii="Bookman Old Style" w:hAnsi="Bookman Old Style" w:eastAsia="Times New Roman" w:cs="Tahoma"/>
                <w:sz w:val="24"/>
                <w:szCs w:val="24"/>
              </w:rPr>
            </w:pPr>
          </w:p>
        </w:tc>
      </w:tr>
    </w:tbl>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tbl>
      <w:tblPr>
        <w:tblStyle w:val="4"/>
        <w:tblW w:w="0" w:type="auto"/>
        <w:tblInd w:w="709" w:type="dxa"/>
        <w:tblLayout w:type="autofit"/>
        <w:tblCellMar>
          <w:top w:w="0" w:type="dxa"/>
          <w:left w:w="108" w:type="dxa"/>
          <w:bottom w:w="0" w:type="dxa"/>
          <w:right w:w="108" w:type="dxa"/>
        </w:tblCellMar>
      </w:tblPr>
      <w:tblGrid>
        <w:gridCol w:w="4616"/>
        <w:gridCol w:w="4296"/>
      </w:tblGrid>
      <w:tr>
        <w:tblPrEx>
          <w:tblCellMar>
            <w:top w:w="0" w:type="dxa"/>
            <w:left w:w="108" w:type="dxa"/>
            <w:bottom w:w="0" w:type="dxa"/>
            <w:right w:w="108" w:type="dxa"/>
          </w:tblCellMar>
        </w:tblPrEx>
        <w:tc>
          <w:tcPr>
            <w:tcW w:w="4810" w:type="dxa"/>
            <w:tcBorders>
              <w:top w:val="single" w:color="auto" w:sz="4" w:space="0"/>
              <w:left w:val="single" w:color="auto" w:sz="4" w:space="0"/>
              <w:bottom w:val="single" w:color="auto" w:sz="4" w:space="0"/>
              <w:right w:val="single" w:color="auto" w:sz="4" w:space="0"/>
            </w:tcBorders>
          </w:tcPr>
          <w:p>
            <w:pPr>
              <w:numPr>
                <w:ilvl w:val="0"/>
                <w:numId w:val="117"/>
              </w:numPr>
              <w:autoSpaceDE w:val="0"/>
              <w:autoSpaceDN w:val="0"/>
              <w:adjustRightInd w:val="0"/>
              <w:spacing w:after="0" w:line="360" w:lineRule="auto"/>
              <w:ind w:left="426" w:hanging="426"/>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ahoma"/>
                <w:sz w:val="24"/>
                <w:szCs w:val="20"/>
              </w:rPr>
              <w:t xml:space="preserve">Secara geografis </w:t>
            </w:r>
            <w:r>
              <w:rPr>
                <w:rFonts w:ascii="Bookman Old Style" w:hAnsi="Bookman Old Style" w:eastAsia="Times New Roman" w:cs="Tahoma"/>
                <w:sz w:val="24"/>
                <w:szCs w:val="20"/>
                <w:lang w:val="sv-SE"/>
              </w:rPr>
              <w:t>Posisi Strategis Kabupaten Kepulauan Selayar  yang berada di tengah-tengah bentang barat dan timur NKRI.</w:t>
            </w:r>
          </w:p>
          <w:p>
            <w:pPr>
              <w:numPr>
                <w:ilvl w:val="1"/>
                <w:numId w:val="118"/>
              </w:numPr>
              <w:autoSpaceDE w:val="0"/>
              <w:autoSpaceDN w:val="0"/>
              <w:adjustRightInd w:val="0"/>
              <w:spacing w:after="0" w:line="360" w:lineRule="auto"/>
              <w:ind w:left="1440" w:hanging="360"/>
              <w:contextualSpacing/>
              <w:jc w:val="both"/>
              <w:rPr>
                <w:rFonts w:ascii="Bookman Old Style" w:hAnsi="Bookman Old Style" w:eastAsia="Times New Roman" w:cs="Times New Roman"/>
                <w:sz w:val="24"/>
                <w:szCs w:val="24"/>
                <w:shd w:val="clear" w:color="auto" w:fill="FFFFFF"/>
                <w:lang w:val="zh-CN"/>
              </w:rPr>
            </w:pPr>
            <w:r>
              <w:rPr>
                <w:rFonts w:ascii="Bookman Old Style" w:hAnsi="Bookman Old Style" w:eastAsia="Times New Roman" w:cs="Tahoma"/>
                <w:sz w:val="24"/>
                <w:szCs w:val="20"/>
              </w:rPr>
              <w:t>Adanya dukungan kemajuan teknologi komunikasi dan informasi yang semakin mempermudah pelaksanaan tugas dan kewajiban.</w:t>
            </w:r>
          </w:p>
          <w:p>
            <w:pPr>
              <w:tabs>
                <w:tab w:val="left" w:pos="1701"/>
              </w:tabs>
              <w:spacing w:after="0" w:line="360" w:lineRule="auto"/>
              <w:jc w:val="both"/>
              <w:rPr>
                <w:rFonts w:ascii="Bookman Old Style" w:hAnsi="Bookman Old Style" w:eastAsia="Times New Roman" w:cs="Tahoma"/>
                <w:i/>
                <w:color w:val="000000" w:themeColor="text1"/>
                <w:sz w:val="18"/>
                <w:szCs w:val="24"/>
                <w:lang w:val="fi-FI"/>
                <w14:textFill>
                  <w14:solidFill>
                    <w14:schemeClr w14:val="tx1"/>
                  </w14:solidFill>
                </w14:textFill>
              </w:rPr>
            </w:pPr>
          </w:p>
        </w:tc>
        <w:tc>
          <w:tcPr>
            <w:tcW w:w="4811" w:type="dxa"/>
            <w:tcBorders>
              <w:top w:val="single" w:color="auto" w:sz="4" w:space="0"/>
              <w:left w:val="single" w:color="auto" w:sz="4" w:space="0"/>
              <w:bottom w:val="single" w:color="auto" w:sz="4" w:space="0"/>
              <w:right w:val="single" w:color="auto" w:sz="4" w:space="0"/>
            </w:tcBorders>
          </w:tcPr>
          <w:p>
            <w:pPr>
              <w:tabs>
                <w:tab w:val="left" w:pos="1701"/>
              </w:tabs>
              <w:spacing w:after="0" w:line="360" w:lineRule="auto"/>
              <w:jc w:val="both"/>
              <w:rPr>
                <w:rFonts w:ascii="Bookman Old Style" w:hAnsi="Bookman Old Style" w:eastAsia="Times New Roman" w:cs="Tahoma"/>
                <w:i/>
                <w:color w:val="000000" w:themeColor="text1"/>
                <w:sz w:val="18"/>
                <w:szCs w:val="24"/>
                <w:lang w:val="fi-FI"/>
                <w14:textFill>
                  <w14:solidFill>
                    <w14:schemeClr w14:val="tx1"/>
                  </w14:solidFill>
                </w14:textFill>
              </w:rPr>
            </w:pPr>
          </w:p>
        </w:tc>
      </w:tr>
    </w:tbl>
    <w:p>
      <w:pPr>
        <w:tabs>
          <w:tab w:val="left" w:pos="1701"/>
        </w:tabs>
        <w:spacing w:after="0" w:line="360" w:lineRule="auto"/>
        <w:ind w:left="709" w:firstLine="425"/>
        <w:jc w:val="both"/>
        <w:rPr>
          <w:rFonts w:ascii="Bookman Old Style" w:hAnsi="Bookman Old Style" w:eastAsia="Times New Roman" w:cs="Tahoma"/>
          <w:i/>
          <w:color w:val="000000" w:themeColor="text1"/>
          <w:sz w:val="18"/>
          <w:szCs w:val="24"/>
          <w:lang w:val="fi-FI"/>
          <w14:textFill>
            <w14:solidFill>
              <w14:schemeClr w14:val="tx1"/>
            </w14:solidFill>
          </w14:textFill>
        </w:rPr>
      </w:pPr>
    </w:p>
    <w:p>
      <w:pPr>
        <w:numPr>
          <w:ilvl w:val="1"/>
          <w:numId w:val="19"/>
        </w:numPr>
        <w:spacing w:after="0" w:line="360" w:lineRule="auto"/>
        <w:ind w:left="709" w:hanging="720"/>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Arah Kebijakan</w:t>
      </w:r>
    </w:p>
    <w:p>
      <w:pPr>
        <w:tabs>
          <w:tab w:val="left" w:pos="1080"/>
          <w:tab w:val="left" w:pos="1418"/>
          <w:tab w:val="left" w:pos="1985"/>
          <w:tab w:val="left" w:leader="dot" w:pos="8820"/>
          <w:tab w:val="right" w:pos="9214"/>
          <w:tab w:val="right" w:pos="9360"/>
        </w:tabs>
        <w:spacing w:after="0" w:line="276" w:lineRule="auto"/>
        <w:rPr>
          <w:rFonts w:ascii="Bookman Old Style" w:hAnsi="Bookman Old Style" w:eastAsia="Times New Roman" w:cs="Tahoma"/>
          <w:color w:val="000000" w:themeColor="text1"/>
          <w:sz w:val="14"/>
          <w:szCs w:val="24"/>
          <w14:textFill>
            <w14:solidFill>
              <w14:schemeClr w14:val="tx1"/>
            </w14:solidFill>
          </w14:textFill>
        </w:rPr>
      </w:pPr>
    </w:p>
    <w:p>
      <w:pPr>
        <w:tabs>
          <w:tab w:val="left" w:pos="1701"/>
        </w:tabs>
        <w:spacing w:after="0" w:line="360" w:lineRule="auto"/>
        <w:ind w:left="720" w:firstLine="414"/>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fi-FI"/>
          <w14:textFill>
            <w14:solidFill>
              <w14:schemeClr w14:val="tx1"/>
            </w14:solidFill>
          </w14:textFill>
        </w:rPr>
        <w:tab/>
      </w:r>
      <w:r>
        <w:rPr>
          <w:rFonts w:ascii="Bookman Old Style" w:hAnsi="Bookman Old Style" w:eastAsia="Times New Roman" w:cs="Tahoma"/>
          <w:color w:val="000000" w:themeColor="text1"/>
          <w:sz w:val="24"/>
          <w:szCs w:val="24"/>
          <w:lang w:val="fi-FI"/>
          <w14:textFill>
            <w14:solidFill>
              <w14:schemeClr w14:val="tx1"/>
            </w14:solidFill>
          </w14:textFill>
        </w:rPr>
        <w:t>Adapun arah kebijakan adalah pedoman untuk mengarahkan rumusan strategi yang dipilih agar lebih terarah dalam mencapai tujuan dan sasaran dari waktu ke waktu selama 5 (lima) tahun. Rumusan arah kebijakan merasionalkan pilihan strategi agar memiliki fokus dan sesuai dengan pengaturan pelaksanaannya</w:t>
      </w: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709"/>
          <w:tab w:val="left" w:pos="1701"/>
        </w:tabs>
        <w:autoSpaceDE w:val="0"/>
        <w:autoSpaceDN w:val="0"/>
        <w:adjustRightInd w:val="0"/>
        <w:spacing w:after="0" w:line="360" w:lineRule="auto"/>
        <w:ind w:left="709" w:firstLine="1134"/>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Kebijakan pada dasarnya merupakan ketentuan-ketentuan yang telah ditetapkan oleh yang berwenang untuk dijadikan pedoman. pegangan atau petunjuk dalam pengembangan pelaksanaan program/kegiatan guna tercapainya kelancaran dan keterpaduan dalam perwujudan sasaran, tujuan, serta visi dan misi instansi pemerintah.</w:t>
      </w:r>
    </w:p>
    <w:p>
      <w:pPr>
        <w:tabs>
          <w:tab w:val="left" w:pos="426"/>
          <w:tab w:val="left" w:pos="709"/>
          <w:tab w:val="left" w:pos="1701"/>
        </w:tabs>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Selanjutnya, Keterkaitan Tujuan, Sasaran, dan Strategi Renstra Dinas Perdagangan, Koperasi dan Usaha Kecil dan Menengah Kabupaten Kepulauan Selayar Tahun 2021-2026</w:t>
      </w:r>
      <w:r>
        <w:rPr>
          <w:rFonts w:ascii="Bookman Old Style" w:hAnsi="Bookman Old Style" w:eastAsia="Times New Roman" w:cs="Times New Roman"/>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disajikan dalam tabel 5.2.1 berikut ini :</w:t>
      </w:r>
    </w:p>
    <w:p>
      <w:pPr>
        <w:tabs>
          <w:tab w:val="left" w:pos="426"/>
          <w:tab w:val="left" w:pos="709"/>
          <w:tab w:val="left" w:pos="1701"/>
        </w:tabs>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426"/>
          <w:tab w:val="left" w:pos="709"/>
          <w:tab w:val="left" w:pos="1701"/>
        </w:tabs>
        <w:spacing w:after="0" w:line="360" w:lineRule="auto"/>
        <w:ind w:left="709"/>
        <w:jc w:val="both"/>
        <w:rPr>
          <w:rFonts w:ascii="Bookman Old Style" w:hAnsi="Bookman Old Style" w:eastAsia="Times New Roman" w:cs="Tahoma"/>
          <w:color w:val="000000" w:themeColor="text1"/>
          <w:sz w:val="24"/>
          <w:szCs w:val="24"/>
          <w14:textFill>
            <w14:solidFill>
              <w14:schemeClr w14:val="tx1"/>
            </w14:solidFill>
          </w14:textFill>
        </w:rPr>
      </w:pPr>
    </w:p>
    <w:p>
      <w:pPr>
        <w:tabs>
          <w:tab w:val="left" w:pos="426"/>
          <w:tab w:val="left" w:pos="1134"/>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sectPr>
          <w:pgSz w:w="12240" w:h="20160"/>
          <w:pgMar w:top="1134" w:right="1134" w:bottom="2098" w:left="1701" w:header="720" w:footer="2268" w:gutter="0"/>
          <w:cols w:space="720" w:num="1"/>
          <w:docGrid w:linePitch="326" w:charSpace="0"/>
        </w:sectPr>
      </w:pPr>
    </w:p>
    <w:tbl>
      <w:tblPr>
        <w:tblStyle w:val="4"/>
        <w:tblpPr w:leftFromText="180" w:rightFromText="180" w:vertAnchor="page" w:horzAnchor="margin" w:tblpY="1882"/>
        <w:tblW w:w="16727" w:type="dxa"/>
        <w:tblInd w:w="0" w:type="dxa"/>
        <w:tblLayout w:type="autofit"/>
        <w:tblCellMar>
          <w:top w:w="0" w:type="dxa"/>
          <w:left w:w="108" w:type="dxa"/>
          <w:bottom w:w="0" w:type="dxa"/>
          <w:right w:w="108" w:type="dxa"/>
        </w:tblCellMar>
      </w:tblPr>
      <w:tblGrid>
        <w:gridCol w:w="1843"/>
        <w:gridCol w:w="2817"/>
        <w:gridCol w:w="6539"/>
        <w:gridCol w:w="5528"/>
      </w:tblGrid>
      <w:tr>
        <w:tblPrEx>
          <w:tblCellMar>
            <w:top w:w="0" w:type="dxa"/>
            <w:left w:w="108" w:type="dxa"/>
            <w:bottom w:w="0" w:type="dxa"/>
            <w:right w:w="108" w:type="dxa"/>
          </w:tblCellMar>
        </w:tblPrEx>
        <w:trPr>
          <w:trHeight w:val="381" w:hRule="atLeast"/>
        </w:trPr>
        <w:tc>
          <w:tcPr>
            <w:tcW w:w="16727" w:type="dxa"/>
            <w:gridSpan w:val="4"/>
            <w:tcBorders>
              <w:top w:val="double" w:color="auto" w:sz="6" w:space="0"/>
              <w:left w:val="double" w:color="auto" w:sz="6" w:space="0"/>
              <w:bottom w:val="single" w:color="auto" w:sz="4" w:space="0"/>
              <w:right w:val="double" w:color="000000" w:sz="6" w:space="0"/>
            </w:tcBorders>
            <w:shd w:val="clear" w:color="000000" w:fill="D9D9D9"/>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 xml:space="preserve">Visi : </w:t>
            </w:r>
            <w:r>
              <w:rPr>
                <w:rFonts w:ascii="Bookman Old Style" w:hAnsi="Bookman Old Style" w:eastAsia="Times New Roman" w:cs="Tahoma"/>
                <w:b/>
                <w:color w:val="000000" w:themeColor="text1"/>
                <w:sz w:val="20"/>
                <w:szCs w:val="20"/>
                <w14:textFill>
                  <w14:solidFill>
                    <w14:schemeClr w14:val="tx1"/>
                  </w14:solidFill>
                </w14:textFill>
              </w:rPr>
              <w:t>Kepulauan Selayar sebagai Bandar Maritim Kawasan Timur Indonesia</w:t>
            </w:r>
          </w:p>
        </w:tc>
      </w:tr>
      <w:tr>
        <w:tblPrEx>
          <w:tblCellMar>
            <w:top w:w="0" w:type="dxa"/>
            <w:left w:w="108" w:type="dxa"/>
            <w:bottom w:w="0" w:type="dxa"/>
            <w:right w:w="108" w:type="dxa"/>
          </w:tblCellMar>
        </w:tblPrEx>
        <w:trPr>
          <w:trHeight w:val="464"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 xml:space="preserve">Misi I : </w:t>
            </w:r>
            <w:r>
              <w:rPr>
                <w:rFonts w:ascii="Bookman Old Style" w:hAnsi="Bookman Old Style" w:eastAsia="Times New Roman" w:cs="Times New Roman"/>
                <w:b/>
                <w:color w:val="000000" w:themeColor="text1"/>
                <w:sz w:val="20"/>
                <w:szCs w:val="20"/>
                <w14:textFill>
                  <w14:solidFill>
                    <w14:schemeClr w14:val="tx1"/>
                  </w14:solidFill>
                </w14:textFill>
              </w:rPr>
              <w:t>Mengembangkan tata kelola pemerintahan yang akuntabel dan transparan</w:t>
            </w:r>
          </w:p>
        </w:tc>
      </w:tr>
      <w:tr>
        <w:tblPrEx>
          <w:tblCellMar>
            <w:top w:w="0" w:type="dxa"/>
            <w:left w:w="108" w:type="dxa"/>
            <w:bottom w:w="0" w:type="dxa"/>
            <w:right w:w="108" w:type="dxa"/>
          </w:tblCellMar>
        </w:tblPrEx>
        <w:trPr>
          <w:trHeight w:val="292"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398" w:hRule="atLeast"/>
        </w:trPr>
        <w:tc>
          <w:tcPr>
            <w:tcW w:w="1843" w:type="dxa"/>
            <w:tcBorders>
              <w:top w:val="nil"/>
              <w:left w:val="double" w:color="auto" w:sz="6" w:space="0"/>
              <w:bottom w:val="single" w:color="auto" w:sz="4" w:space="0"/>
              <w:right w:val="single" w:color="auto" w:sz="4" w:space="0"/>
            </w:tcBorders>
            <w:shd w:val="clear" w:color="auto" w:fill="auto"/>
          </w:tcPr>
          <w:p>
            <w:pPr>
              <w:spacing w:after="0" w:line="240" w:lineRule="auto"/>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 xml:space="preserve">Meningkatkan  akuntabilitas kinerja dan </w:t>
            </w:r>
          </w:p>
          <w:p>
            <w:pPr>
              <w:spacing w:after="0" w:line="240" w:lineRule="auto"/>
              <w:rPr>
                <w:rFonts w:ascii="Bookman Old Style" w:hAnsi="Bookman Old Style" w:eastAsia="Times New Roman" w:cs="Tahoma"/>
                <w:color w:val="000000" w:themeColor="text1"/>
                <w:sz w:val="20"/>
                <w:szCs w:val="20"/>
                <w:lang w:val="en-GB" w:eastAsia="en-GB"/>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keuangan</w:t>
            </w:r>
          </w:p>
        </w:tc>
        <w:tc>
          <w:tcPr>
            <w:tcW w:w="2817" w:type="dxa"/>
            <w:tcBorders>
              <w:top w:val="nil"/>
              <w:left w:val="nil"/>
              <w:bottom w:val="single" w:color="auto" w:sz="4" w:space="0"/>
              <w:right w:val="nil"/>
            </w:tcBorders>
            <w:shd w:val="clear" w:color="auto" w:fill="auto"/>
          </w:tcPr>
          <w:p>
            <w:pPr>
              <w:numPr>
                <w:ilvl w:val="0"/>
                <w:numId w:val="119"/>
              </w:numPr>
              <w:tabs>
                <w:tab w:val="left" w:pos="175"/>
              </w:tabs>
              <w:spacing w:before="0" w:beforeAutospacing="0" w:after="0" w:afterAutospacing="0" w:line="240" w:lineRule="auto"/>
              <w:ind w:left="483" w:hanging="483"/>
              <w:jc w:val="both"/>
              <w:rPr>
                <w:rFonts w:ascii="Bookman Old Style" w:hAnsi="Bookman Old Style" w:eastAsia="Times New Roman" w:cs="Times New Roman"/>
                <w:color w:val="000000" w:themeColor="text1"/>
                <w:sz w:val="20"/>
                <w:szCs w:val="20"/>
                <w:lang w:val="id-ID" w:eastAsia="id-ID"/>
                <w14:textFill>
                  <w14:solidFill>
                    <w14:schemeClr w14:val="tx1"/>
                  </w14:solidFill>
                </w14:textFill>
              </w:rPr>
            </w:pPr>
            <w:r>
              <w:rPr>
                <w:rFonts w:ascii="Bookman Old Style" w:hAnsi="Bookman Old Style" w:eastAsia="Times New Roman" w:cs="Times New Roman"/>
                <w:color w:val="000000" w:themeColor="text1"/>
                <w:sz w:val="20"/>
                <w:szCs w:val="20"/>
                <w:lang w:val="id-ID" w:eastAsia="id-ID"/>
                <w14:textFill>
                  <w14:solidFill>
                    <w14:schemeClr w14:val="tx1"/>
                  </w14:solidFill>
                </w14:textFill>
              </w:rPr>
              <w:t>Meningkatnya</w:t>
            </w:r>
          </w:p>
          <w:p>
            <w:pPr>
              <w:tabs>
                <w:tab w:val="left" w:pos="341"/>
              </w:tabs>
              <w:spacing w:before="0" w:beforeAutospacing="0" w:after="0" w:afterAutospacing="0" w:line="240" w:lineRule="auto"/>
              <w:ind w:left="483" w:hanging="483"/>
              <w:jc w:val="both"/>
              <w:rPr>
                <w:rFonts w:ascii="Bookman Old Style" w:hAnsi="Bookman Old Style" w:eastAsia="Times New Roman" w:cs="Times New Roman"/>
                <w:color w:val="000000" w:themeColor="text1"/>
                <w:sz w:val="20"/>
                <w:szCs w:val="20"/>
                <w:lang w:val="id-ID" w:eastAsia="id-ID"/>
                <w14:textFill>
                  <w14:solidFill>
                    <w14:schemeClr w14:val="tx1"/>
                  </w14:solidFill>
                </w14:textFill>
              </w:rPr>
            </w:pPr>
            <w:r>
              <w:rPr>
                <w:rFonts w:ascii="Bookman Old Style" w:hAnsi="Bookman Old Style" w:eastAsia="Times New Roman" w:cs="Times New Roman"/>
                <w:color w:val="000000" w:themeColor="text1"/>
                <w:sz w:val="20"/>
                <w:szCs w:val="20"/>
                <w:lang w:val="id-ID" w:eastAsia="id-ID"/>
                <w14:textFill>
                  <w14:solidFill>
                    <w14:schemeClr w14:val="tx1"/>
                  </w14:solidFill>
                </w14:textFill>
              </w:rPr>
              <w:t xml:space="preserve">   Kualitas     </w:t>
            </w:r>
          </w:p>
          <w:p>
            <w:pPr>
              <w:tabs>
                <w:tab w:val="left" w:pos="188"/>
              </w:tabs>
              <w:spacing w:before="0" w:beforeAutospacing="0" w:after="0" w:afterAutospacing="0" w:line="240" w:lineRule="auto"/>
              <w:ind w:left="188" w:hanging="188"/>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val="id-ID" w:eastAsia="id-ID"/>
                <w14:textFill>
                  <w14:solidFill>
                    <w14:schemeClr w14:val="tx1"/>
                  </w14:solidFill>
                </w14:textFill>
              </w:rPr>
              <w:t xml:space="preserve">   </w:t>
            </w:r>
            <w:r>
              <w:rPr>
                <w:rFonts w:ascii="Bookman Old Style" w:hAnsi="Bookman Old Style" w:eastAsia="Times New Roman" w:cs="Times New Roman"/>
                <w:color w:val="000000" w:themeColor="text1"/>
                <w:sz w:val="20"/>
                <w:szCs w:val="20"/>
                <w:lang w:eastAsia="id-ID"/>
                <w14:textFill>
                  <w14:solidFill>
                    <w14:schemeClr w14:val="tx1"/>
                  </w14:solidFill>
                </w14:textFill>
              </w:rPr>
              <w:t xml:space="preserve">Pelayanan kepada      </w:t>
            </w:r>
          </w:p>
          <w:p>
            <w:pPr>
              <w:tabs>
                <w:tab w:val="left" w:pos="341"/>
              </w:tabs>
              <w:spacing w:before="0" w:beforeAutospacing="0" w:after="0" w:afterAutospacing="0" w:line="240" w:lineRule="auto"/>
              <w:ind w:left="483" w:hanging="483"/>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 xml:space="preserve">   Masyarakat</w:t>
            </w:r>
          </w:p>
          <w:p>
            <w:pPr>
              <w:numPr>
                <w:ilvl w:val="0"/>
                <w:numId w:val="119"/>
              </w:numPr>
              <w:tabs>
                <w:tab w:val="left" w:pos="341"/>
              </w:tabs>
              <w:spacing w:before="0" w:beforeAutospacing="0" w:after="0" w:afterAutospacing="0" w:line="240" w:lineRule="auto"/>
              <w:ind w:left="199" w:hanging="199"/>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Meningkatnya nilai SAKIP</w:t>
            </w:r>
          </w:p>
          <w:p>
            <w:pPr>
              <w:numPr>
                <w:ilvl w:val="0"/>
                <w:numId w:val="120"/>
              </w:numPr>
              <w:tabs>
                <w:tab w:val="left" w:pos="341"/>
              </w:tabs>
              <w:spacing w:before="0" w:beforeAutospacing="0" w:after="0" w:afterAutospacing="0" w:line="240" w:lineRule="auto"/>
              <w:ind w:left="199" w:hanging="199"/>
              <w:jc w:val="both"/>
              <w:rPr>
                <w:rFonts w:ascii="Bookman Old Style" w:hAnsi="Bookman Old Style" w:eastAsia="Times New Roman" w:cs="Tahoma"/>
                <w:color w:val="000000" w:themeColor="text1"/>
                <w:sz w:val="20"/>
                <w:szCs w:val="20"/>
                <w:lang w:eastAsia="en-GB"/>
                <w14:textFill>
                  <w14:solidFill>
                    <w14:schemeClr w14:val="tx1"/>
                  </w14:solidFill>
                </w14:textFill>
              </w:rPr>
            </w:pPr>
            <w:r>
              <w:rPr>
                <w:rFonts w:ascii="Bookman Old Style" w:hAnsi="Bookman Old Style" w:eastAsia="Times New Roman" w:cs="Tahoma"/>
                <w:color w:val="000000" w:themeColor="text1"/>
                <w:sz w:val="20"/>
                <w:szCs w:val="20"/>
                <w:lang w:eastAsia="en-GB"/>
                <w14:textFill>
                  <w14:solidFill>
                    <w14:schemeClr w14:val="tx1"/>
                  </w14:solidFill>
                </w14:textFill>
              </w:rPr>
              <w:t>Meningkatnya tertib administrasi pengelolaan keuangan dan aset daerah</w:t>
            </w:r>
          </w:p>
        </w:tc>
        <w:tc>
          <w:tcPr>
            <w:tcW w:w="6539" w:type="dxa"/>
            <w:tcBorders>
              <w:top w:val="nil"/>
              <w:left w:val="single" w:color="auto" w:sz="4" w:space="0"/>
              <w:bottom w:val="single" w:color="auto" w:sz="4" w:space="0"/>
              <w:right w:val="nil"/>
            </w:tcBorders>
            <w:shd w:val="clear" w:color="auto" w:fill="auto"/>
          </w:tcPr>
          <w:p>
            <w:pPr>
              <w:numPr>
                <w:ilvl w:val="0"/>
                <w:numId w:val="120"/>
              </w:numPr>
              <w:spacing w:before="0" w:beforeAutospacing="0" w:after="0" w:afterAutospacing="0" w:line="240" w:lineRule="auto"/>
              <w:ind w:left="228" w:hanging="218"/>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Meningkatkan kapabilitas dan keunggulan SDM aparatur yang ditunjang perangkat teknologi informasi yang baik</w:t>
            </w:r>
          </w:p>
          <w:p>
            <w:pPr>
              <w:numPr>
                <w:ilvl w:val="0"/>
                <w:numId w:val="120"/>
              </w:numPr>
              <w:spacing w:before="0" w:beforeAutospacing="0" w:after="0" w:afterAutospacing="0" w:line="240" w:lineRule="auto"/>
              <w:ind w:left="228" w:hanging="218"/>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Meningkatkan kualitas perencanaan yang berorientasi hasil</w:t>
            </w:r>
          </w:p>
          <w:p>
            <w:pPr>
              <w:numPr>
                <w:ilvl w:val="0"/>
                <w:numId w:val="120"/>
              </w:numPr>
              <w:spacing w:after="0" w:line="240" w:lineRule="auto"/>
              <w:ind w:left="228" w:hanging="218"/>
              <w:contextualSpacing/>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Meningkatkan pengelolaan keuangan dan aset daerah berdasarkan peraturan perundang-undangan yang berlaku</w:t>
            </w:r>
          </w:p>
        </w:tc>
        <w:tc>
          <w:tcPr>
            <w:tcW w:w="5528" w:type="dxa"/>
            <w:tcBorders>
              <w:top w:val="nil"/>
              <w:left w:val="single" w:color="auto" w:sz="4" w:space="0"/>
              <w:bottom w:val="single" w:color="auto" w:sz="4" w:space="0"/>
              <w:right w:val="double" w:color="auto" w:sz="6" w:space="0"/>
            </w:tcBorders>
            <w:shd w:val="clear" w:color="auto" w:fill="auto"/>
          </w:tcPr>
          <w:p>
            <w:pPr>
              <w:numPr>
                <w:ilvl w:val="0"/>
                <w:numId w:val="120"/>
              </w:numPr>
              <w:spacing w:after="0" w:line="240" w:lineRule="auto"/>
              <w:ind w:left="173" w:right="1026" w:hanging="218"/>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r>
              <w:rPr>
                <w:rFonts w:ascii="Bookman Old Style" w:hAnsi="Bookman Old Style" w:eastAsia="Times New Roman" w:cs="Tahoma"/>
                <w:color w:val="000000" w:themeColor="text1"/>
                <w:sz w:val="20"/>
                <w:szCs w:val="20"/>
                <w:lang w:val="en-GB" w:eastAsia="en-GB"/>
                <w14:textFill>
                  <w14:solidFill>
                    <w14:schemeClr w14:val="tx1"/>
                  </w14:solidFill>
                </w14:textFill>
              </w:rPr>
              <w:t>Peningkatan kedisplinan dan kapasitas sumber daya aparatur</w:t>
            </w:r>
          </w:p>
          <w:p>
            <w:pPr>
              <w:numPr>
                <w:ilvl w:val="0"/>
                <w:numId w:val="120"/>
              </w:numPr>
              <w:spacing w:after="0" w:line="240" w:lineRule="auto"/>
              <w:ind w:left="173" w:right="1026" w:hanging="218"/>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r>
              <w:rPr>
                <w:rFonts w:ascii="Bookman Old Style" w:hAnsi="Bookman Old Style" w:eastAsia="Times New Roman" w:cs="Tahoma"/>
                <w:color w:val="000000" w:themeColor="text1"/>
                <w:sz w:val="20"/>
                <w:szCs w:val="20"/>
                <w:lang w:val="en-GB" w:eastAsia="en-GB"/>
                <w14:textFill>
                  <w14:solidFill>
                    <w14:schemeClr w14:val="tx1"/>
                  </w14:solidFill>
                </w14:textFill>
              </w:rPr>
              <w:t>Peningkatan sarana dan prasanara aparatur</w:t>
            </w:r>
          </w:p>
          <w:p>
            <w:pPr>
              <w:spacing w:after="0" w:line="240" w:lineRule="auto"/>
              <w:ind w:left="173" w:right="1026"/>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 xml:space="preserve">Misi II : </w:t>
            </w:r>
            <w:r>
              <w:rPr>
                <w:rFonts w:ascii="Bookman Old Style" w:hAnsi="Bookman Old Style" w:eastAsia="Times New Roman" w:cs="Tahoma"/>
                <w:b/>
                <w:color w:val="000000" w:themeColor="text1"/>
                <w:sz w:val="20"/>
                <w:szCs w:val="20"/>
                <w14:textFill>
                  <w14:solidFill>
                    <w14:schemeClr w14:val="tx1"/>
                  </w14:solidFill>
                </w14:textFill>
              </w:rPr>
              <w:t>Meningkatkan kualitas pembangunan perdesaan</w:t>
            </w:r>
          </w:p>
        </w:tc>
      </w:tr>
      <w:tr>
        <w:tblPrEx>
          <w:tblCellMar>
            <w:top w:w="0" w:type="dxa"/>
            <w:left w:w="108" w:type="dxa"/>
            <w:bottom w:w="0" w:type="dxa"/>
            <w:right w:w="108" w:type="dxa"/>
          </w:tblCellMar>
        </w:tblPrEx>
        <w:trPr>
          <w:trHeight w:val="419"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3418" w:hRule="atLeast"/>
        </w:trPr>
        <w:tc>
          <w:tcPr>
            <w:tcW w:w="1843" w:type="dxa"/>
            <w:tcBorders>
              <w:top w:val="nil"/>
              <w:left w:val="double" w:color="auto" w:sz="6"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Meningkatkan kemandirian Pelaku usaha</w:t>
            </w:r>
          </w:p>
        </w:tc>
        <w:tc>
          <w:tcPr>
            <w:tcW w:w="2817" w:type="dxa"/>
            <w:tcBorders>
              <w:top w:val="nil"/>
              <w:left w:val="nil"/>
              <w:bottom w:val="single" w:color="auto" w:sz="4" w:space="0"/>
              <w:right w:val="nil"/>
            </w:tcBorders>
            <w:shd w:val="clear" w:color="auto" w:fill="auto"/>
          </w:tcPr>
          <w:p>
            <w:pPr>
              <w:spacing w:after="0" w:line="240" w:lineRule="auto"/>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Meningkatnya kualitas kelembagaan, produktivitas dan daya saing serta kemandirian pelaku usaha</w:t>
            </w:r>
          </w:p>
        </w:tc>
        <w:tc>
          <w:tcPr>
            <w:tcW w:w="6539" w:type="dxa"/>
            <w:tcBorders>
              <w:top w:val="nil"/>
              <w:left w:val="single" w:color="auto" w:sz="4" w:space="0"/>
              <w:bottom w:val="single" w:color="auto" w:sz="4" w:space="0"/>
              <w:right w:val="nil"/>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 xml:space="preserve">Optimalisasi peranan pelaku usaha </w:t>
            </w:r>
            <w:r>
              <w:rPr>
                <w:rFonts w:ascii="Bookman Old Style" w:hAnsi="Bookman Old Style" w:eastAsia="Times New Roman" w:cs="Tahoma"/>
                <w:color w:val="000000" w:themeColor="text1"/>
                <w:lang w:val="es-ES"/>
                <w14:textFill>
                  <w14:solidFill>
                    <w14:schemeClr w14:val="tx1"/>
                  </w14:solidFill>
                </w14:textFill>
              </w:rPr>
              <w:t>dalam mengelola SDA menjadi produk yang bermutu yang mampu bersaing dalam pasar global</w:t>
            </w:r>
            <w:r>
              <w:rPr>
                <w:rFonts w:ascii="Bookman Old Style" w:hAnsi="Bookman Old Style" w:eastAsia="Times New Roman" w:cs="Tahoma"/>
                <w:color w:val="000000" w:themeColor="text1"/>
                <w14:textFill>
                  <w14:solidFill>
                    <w14:schemeClr w14:val="tx1"/>
                  </w14:solidFill>
                </w14:textFill>
              </w:rPr>
              <w:t xml:space="preserve"> </w:t>
            </w:r>
          </w:p>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 xml:space="preserve">Mendukung program gerbang sari didalam pengembangan SDM masyarakat </w:t>
            </w:r>
            <w:r>
              <w:rPr>
                <w:rFonts w:ascii="Bookman Old Style" w:hAnsi="Bookman Old Style" w:eastAsia="Times New Roman" w:cs="Tahoma"/>
                <w:color w:val="000000" w:themeColor="text1"/>
                <w:lang w:val="es-ES"/>
                <w14:textFill>
                  <w14:solidFill>
                    <w14:schemeClr w14:val="tx1"/>
                  </w14:solidFill>
                </w14:textFill>
              </w:rPr>
              <w:t xml:space="preserve">dan pelaku usaha </w:t>
            </w:r>
            <w:r>
              <w:rPr>
                <w:rFonts w:ascii="Bookman Old Style" w:hAnsi="Bookman Old Style" w:eastAsia="Times New Roman" w:cs="Tahoma"/>
                <w:color w:val="000000" w:themeColor="text1"/>
                <w14:textFill>
                  <w14:solidFill>
                    <w14:schemeClr w14:val="tx1"/>
                  </w14:solidFill>
                </w14:textFill>
              </w:rPr>
              <w:t xml:space="preserve">perdagangan dan pelaku UKM, jalan, infrastruktur desa, air bersih, pelayanan publik, pendidikan, perdagangan, koperasi desa </w:t>
            </w:r>
          </w:p>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Pengembangan Koperasi dan UMKM yang maju, berdaulat dalam mendukung program prioritas pembangunan PDL, KIPT, KEK dan dan program gerakan membangun desa mandiri di 11 kecamatan di Kabupaten Kepulauan Selayar</w:t>
            </w:r>
          </w:p>
        </w:tc>
        <w:tc>
          <w:tcPr>
            <w:tcW w:w="5528" w:type="dxa"/>
            <w:tcBorders>
              <w:top w:val="nil"/>
              <w:left w:val="single" w:color="auto" w:sz="4" w:space="0"/>
              <w:bottom w:val="single" w:color="auto" w:sz="4" w:space="0"/>
              <w:right w:val="double" w:color="auto" w:sz="6" w:space="0"/>
            </w:tcBorders>
            <w:shd w:val="clear" w:color="auto" w:fill="auto"/>
          </w:tcPr>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Peningkatan kapasitas SDM, sarana dan prasarana untuk desa</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 xml:space="preserve">Peningkatan pengembangan ilmu pengetahuan dan teknologi tingkat desa  </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Pembinaan dan peningkatan keberdayaan penduduk miskin</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 xml:space="preserve">Perluasan lapangan kerja </w:t>
            </w:r>
          </w:p>
          <w:p>
            <w:pPr>
              <w:spacing w:after="0" w:line="240" w:lineRule="auto"/>
              <w:ind w:right="222"/>
              <w:jc w:val="both"/>
              <w:rPr>
                <w:rFonts w:ascii="Bookman Old Style" w:hAnsi="Bookman Old Style" w:eastAsia="Times New Roman" w:cs="Tahoma"/>
                <w:color w:val="000000" w:themeColor="text1"/>
                <w:lang w:val="en-GB" w:eastAsia="en-GB"/>
                <w14:textFill>
                  <w14:solidFill>
                    <w14:schemeClr w14:val="tx1"/>
                  </w14:solidFill>
                </w14:textFill>
              </w:rPr>
            </w:pPr>
          </w:p>
        </w:tc>
      </w:tr>
    </w:tbl>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Tabel 5.2.1. Tujuan, Sasaran, dan Strategi Renstra Dinas Perdagangan, Koperasi, dan Usaha  Kecil dan Menengah</w:t>
      </w:r>
    </w:p>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Kabupaten Kepulauan Selayar (Sebelum Perubahan)</w:t>
      </w:r>
    </w:p>
    <w:p>
      <w:pPr>
        <w:spacing w:after="0" w:line="240" w:lineRule="auto"/>
        <w:rPr>
          <w:rFonts w:ascii="Bookman Old Style" w:hAnsi="Bookman Old Style" w:eastAsia="Times New Roman" w:cs="Tahoma"/>
          <w:b/>
          <w:bCs/>
          <w:color w:val="000000" w:themeColor="text1"/>
          <w:sz w:val="23"/>
          <w:szCs w:val="23"/>
          <w:lang w:val="en-GB" w:eastAsia="en-GB"/>
          <w14:textFill>
            <w14:solidFill>
              <w14:schemeClr w14:val="tx1"/>
            </w14:solidFill>
          </w14:textFill>
        </w:rPr>
      </w:pPr>
    </w:p>
    <w:p>
      <w:pPr>
        <w:spacing w:after="0" w:line="240" w:lineRule="auto"/>
        <w:rPr>
          <w:rFonts w:ascii="Bookman Old Style" w:hAnsi="Bookman Old Style" w:eastAsia="Times New Roman" w:cs="Tahoma"/>
          <w:b/>
          <w:bCs/>
          <w:color w:val="000000" w:themeColor="text1"/>
          <w:sz w:val="23"/>
          <w:szCs w:val="23"/>
          <w:lang w:val="en-GB" w:eastAsia="en-GB"/>
          <w14:textFill>
            <w14:solidFill>
              <w14:schemeClr w14:val="tx1"/>
            </w14:solidFill>
          </w14:textFill>
        </w:rPr>
        <w:sectPr>
          <w:pgSz w:w="20160" w:h="12240" w:orient="landscape"/>
          <w:pgMar w:top="1134" w:right="2098" w:bottom="1701" w:left="1134" w:header="720" w:footer="1094" w:gutter="0"/>
          <w:cols w:space="720" w:num="1"/>
        </w:sectPr>
      </w:pPr>
    </w:p>
    <w:tbl>
      <w:tblPr>
        <w:tblStyle w:val="4"/>
        <w:tblW w:w="16727" w:type="dxa"/>
        <w:tblInd w:w="108" w:type="dxa"/>
        <w:tblLayout w:type="autofit"/>
        <w:tblCellMar>
          <w:top w:w="0" w:type="dxa"/>
          <w:left w:w="108" w:type="dxa"/>
          <w:bottom w:w="0" w:type="dxa"/>
          <w:right w:w="108" w:type="dxa"/>
        </w:tblCellMar>
      </w:tblPr>
      <w:tblGrid>
        <w:gridCol w:w="1843"/>
        <w:gridCol w:w="2817"/>
        <w:gridCol w:w="6539"/>
        <w:gridCol w:w="5528"/>
      </w:tblGrid>
      <w:tr>
        <w:tblPrEx>
          <w:tblCellMar>
            <w:top w:w="0" w:type="dxa"/>
            <w:left w:w="108" w:type="dxa"/>
            <w:bottom w:w="0" w:type="dxa"/>
            <w:right w:w="108" w:type="dxa"/>
          </w:tblCellMar>
        </w:tblPrEx>
        <w:trPr>
          <w:trHeight w:val="418"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 xml:space="preserve">Misi III : </w:t>
            </w:r>
            <w:r>
              <w:rPr>
                <w:rFonts w:ascii="Bookman Old Style" w:hAnsi="Bookman Old Style" w:eastAsia="Times New Roman" w:cs="Tahoma"/>
                <w:b/>
                <w:color w:val="000000" w:themeColor="text1"/>
                <w:sz w:val="23"/>
                <w:szCs w:val="23"/>
                <w14:textFill>
                  <w14:solidFill>
                    <w14:schemeClr w14:val="tx1"/>
                  </w14:solidFill>
                </w14:textFill>
              </w:rPr>
              <w:t>Meningkatkan kualitas hidup masyarakat</w:t>
            </w:r>
          </w:p>
        </w:tc>
      </w:tr>
      <w:tr>
        <w:tblPrEx>
          <w:tblCellMar>
            <w:top w:w="0" w:type="dxa"/>
            <w:left w:w="108" w:type="dxa"/>
            <w:bottom w:w="0" w:type="dxa"/>
            <w:right w:w="108" w:type="dxa"/>
          </w:tblCellMar>
        </w:tblPrEx>
        <w:trPr>
          <w:trHeight w:val="419"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1893" w:hRule="atLeast"/>
        </w:trPr>
        <w:tc>
          <w:tcPr>
            <w:tcW w:w="1843" w:type="dxa"/>
            <w:tcBorders>
              <w:top w:val="single" w:color="auto" w:sz="4" w:space="0"/>
              <w:left w:val="double" w:color="auto" w:sz="6" w:space="0"/>
              <w:bottom w:val="single" w:color="000000"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Meningkatkan kesejahteraan masyarakat pelaku usaha</w:t>
            </w:r>
          </w:p>
        </w:tc>
        <w:tc>
          <w:tcPr>
            <w:tcW w:w="2817" w:type="dxa"/>
            <w:tcBorders>
              <w:top w:val="single" w:color="auto" w:sz="4" w:space="0"/>
              <w:left w:val="single" w:color="auto" w:sz="4" w:space="0"/>
              <w:bottom w:val="single" w:color="000000"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Meningkatnya pendapatan masyarakat pelaku usaha</w:t>
            </w:r>
          </w:p>
        </w:tc>
        <w:tc>
          <w:tcPr>
            <w:tcW w:w="6539" w:type="dxa"/>
            <w:tcBorders>
              <w:top w:val="single" w:color="auto" w:sz="4" w:space="0"/>
              <w:left w:val="single" w:color="auto" w:sz="4" w:space="0"/>
              <w:bottom w:val="single" w:color="000000" w:sz="4" w:space="0"/>
              <w:right w:val="single" w:color="auto" w:sz="4" w:space="0"/>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Perwujudan konsumen berdaya dan pelaku usaha yang bertanggung jawab</w:t>
            </w:r>
          </w:p>
          <w:p>
            <w:pPr>
              <w:numPr>
                <w:ilvl w:val="0"/>
                <w:numId w:val="120"/>
              </w:numPr>
              <w:spacing w:after="0" w:line="240" w:lineRule="auto"/>
              <w:ind w:left="175" w:hanging="218"/>
              <w:contextualSpacing/>
              <w:rPr>
                <w:rFonts w:ascii="Times New Roman" w:hAnsi="Times New Roman" w:eastAsia="Times New Roman" w:cs="Times New Roman"/>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Peningkatan kualitas kelembagaan, produktivitas dan daya saing serta kemandirian koperasi dan UKM</w:t>
            </w:r>
          </w:p>
        </w:tc>
        <w:tc>
          <w:tcPr>
            <w:tcW w:w="5528" w:type="dxa"/>
            <w:tcBorders>
              <w:top w:val="nil"/>
              <w:left w:val="nil"/>
              <w:bottom w:val="single" w:color="auto" w:sz="4" w:space="0"/>
              <w:right w:val="double" w:color="auto" w:sz="6" w:space="0"/>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Mengoptimalkan dukungan terhadap pengembangan produk lokal</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Meningkatkan produk unggulan daerah</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Meningkatkan promosi dan pengembangan usaha pelaku  dan UKM</w:t>
            </w:r>
          </w:p>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p>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p>
        </w:tc>
      </w:tr>
      <w:tr>
        <w:tblPrEx>
          <w:tblCellMar>
            <w:top w:w="0" w:type="dxa"/>
            <w:left w:w="108" w:type="dxa"/>
            <w:bottom w:w="0" w:type="dxa"/>
            <w:right w:w="108" w:type="dxa"/>
          </w:tblCellMar>
        </w:tblPrEx>
        <w:trPr>
          <w:trHeight w:val="449"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ind w:left="720"/>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 xml:space="preserve">Misi IV. </w:t>
            </w:r>
            <w:r>
              <w:rPr>
                <w:rFonts w:ascii="Bookman Old Style" w:hAnsi="Bookman Old Style" w:eastAsia="Times New Roman" w:cs="Tahoma"/>
                <w:b/>
                <w:bCs/>
                <w:color w:val="000000" w:themeColor="text1"/>
                <w:sz w:val="23"/>
                <w:szCs w:val="23"/>
                <w:lang w:eastAsia="en-GB"/>
                <w14:textFill>
                  <w14:solidFill>
                    <w14:schemeClr w14:val="tx1"/>
                  </w14:solidFill>
                </w14:textFill>
              </w:rPr>
              <w:t>Mengembangkan Pengelolaan Potensi Kemaritiman</w:t>
            </w:r>
          </w:p>
        </w:tc>
      </w:tr>
      <w:tr>
        <w:tblPrEx>
          <w:tblCellMar>
            <w:top w:w="0" w:type="dxa"/>
            <w:left w:w="108" w:type="dxa"/>
            <w:bottom w:w="0" w:type="dxa"/>
            <w:right w:w="108" w:type="dxa"/>
          </w:tblCellMar>
        </w:tblPrEx>
        <w:trPr>
          <w:trHeight w:val="464"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857" w:hRule="atLeast"/>
        </w:trPr>
        <w:tc>
          <w:tcPr>
            <w:tcW w:w="1843" w:type="dxa"/>
            <w:tcBorders>
              <w:top w:val="nil"/>
              <w:left w:val="double" w:color="auto" w:sz="6" w:space="0"/>
              <w:bottom w:val="doub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Meningkatkan  penguatan pasar daerah guna meningkatkan perdagangan dalam negeri</w:t>
            </w:r>
          </w:p>
        </w:tc>
        <w:tc>
          <w:tcPr>
            <w:tcW w:w="2817" w:type="dxa"/>
            <w:tcBorders>
              <w:top w:val="nil"/>
              <w:left w:val="nil"/>
              <w:bottom w:val="double" w:color="auto" w:sz="4" w:space="0"/>
              <w:right w:val="nil"/>
            </w:tcBorders>
            <w:shd w:val="clear" w:color="auto" w:fill="auto"/>
          </w:tcPr>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Meningkatnya potensi, peningkatan nilai tambah, penguasaan teknologi yang berwawasan lingkungan dan berbasis potensi local</w:t>
            </w:r>
          </w:p>
        </w:tc>
        <w:tc>
          <w:tcPr>
            <w:tcW w:w="6539" w:type="dxa"/>
            <w:tcBorders>
              <w:top w:val="nil"/>
              <w:left w:val="single" w:color="auto" w:sz="4" w:space="0"/>
              <w:bottom w:val="double" w:color="auto" w:sz="4" w:space="0"/>
              <w:right w:val="nil"/>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Stabilisasi harga dan ketersediaan pasokan bahan pangan  </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Peningkatan pasar produk dalam negeri </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Peningkatan kapasitas dan peran kelembagaan ekonomi kerakyatan</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Peningkatan Peranan kelembagaan/investor dalam dan luar negeri</w:t>
            </w:r>
          </w:p>
        </w:tc>
        <w:tc>
          <w:tcPr>
            <w:tcW w:w="5528" w:type="dxa"/>
            <w:tcBorders>
              <w:top w:val="nil"/>
              <w:left w:val="single" w:color="auto" w:sz="4" w:space="0"/>
              <w:bottom w:val="double" w:color="auto" w:sz="4" w:space="0"/>
              <w:right w:val="double" w:color="auto" w:sz="6" w:space="0"/>
            </w:tcBorders>
            <w:shd w:val="clear" w:color="auto" w:fill="auto"/>
          </w:tcPr>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Peningkatan Jaringan Distribusi Logistik adalah dengan meningkatkan jaringan distribusi nasional untuk menjadikan Kepulauan Selayar sebagai Pusat Distribusi Logistik kawasan Timur Indonesia;</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Pengembangan Kawasan distribusi logistik, untuk ketersediaan sarana dan prasarana penunjang kegiatan</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Peningkatan efektivitas pengawasan dan iklim usaha perdagangan</w:t>
            </w: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 </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Meningkatkan perdagangan daerah dengan penguatan pasar dalam negeri </w:t>
            </w:r>
          </w:p>
          <w:p>
            <w:pPr>
              <w:spacing w:after="0" w:line="240" w:lineRule="auto"/>
              <w:ind w:left="317"/>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p>
        </w:tc>
      </w:tr>
    </w:tbl>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Tabel 5.2.2. Tujuan, Sasaran, dan Strategi Renstra Dinas Perdagangan, Koperasi, dan Usaha  Kecil dan Menengah</w:t>
      </w:r>
    </w:p>
    <w:tbl>
      <w:tblPr>
        <w:tblStyle w:val="4"/>
        <w:tblpPr w:leftFromText="180" w:rightFromText="180" w:vertAnchor="page" w:horzAnchor="margin" w:tblpY="1882"/>
        <w:tblW w:w="16727" w:type="dxa"/>
        <w:tblInd w:w="0" w:type="dxa"/>
        <w:tblLayout w:type="autofit"/>
        <w:tblCellMar>
          <w:top w:w="0" w:type="dxa"/>
          <w:left w:w="108" w:type="dxa"/>
          <w:bottom w:w="0" w:type="dxa"/>
          <w:right w:w="108" w:type="dxa"/>
        </w:tblCellMar>
      </w:tblPr>
      <w:tblGrid>
        <w:gridCol w:w="1843"/>
        <w:gridCol w:w="2817"/>
        <w:gridCol w:w="6539"/>
        <w:gridCol w:w="5528"/>
      </w:tblGrid>
      <w:tr>
        <w:tblPrEx>
          <w:tblCellMar>
            <w:top w:w="0" w:type="dxa"/>
            <w:left w:w="108" w:type="dxa"/>
            <w:bottom w:w="0" w:type="dxa"/>
            <w:right w:w="108" w:type="dxa"/>
          </w:tblCellMar>
        </w:tblPrEx>
        <w:trPr>
          <w:trHeight w:val="381" w:hRule="atLeast"/>
        </w:trPr>
        <w:tc>
          <w:tcPr>
            <w:tcW w:w="16727" w:type="dxa"/>
            <w:gridSpan w:val="4"/>
            <w:tcBorders>
              <w:top w:val="double" w:color="auto" w:sz="6" w:space="0"/>
              <w:left w:val="double" w:color="auto" w:sz="6" w:space="0"/>
              <w:bottom w:val="single" w:color="auto" w:sz="4" w:space="0"/>
              <w:right w:val="double" w:color="000000" w:sz="6" w:space="0"/>
            </w:tcBorders>
            <w:shd w:val="clear" w:color="000000" w:fill="D9D9D9"/>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 xml:space="preserve">Visi : </w:t>
            </w:r>
            <w:r>
              <w:rPr>
                <w:rFonts w:ascii="Bookman Old Style" w:hAnsi="Bookman Old Style" w:eastAsia="Times New Roman" w:cs="Tahoma"/>
                <w:b/>
                <w:color w:val="000000" w:themeColor="text1"/>
                <w:sz w:val="20"/>
                <w:szCs w:val="20"/>
                <w14:textFill>
                  <w14:solidFill>
                    <w14:schemeClr w14:val="tx1"/>
                  </w14:solidFill>
                </w14:textFill>
              </w:rPr>
              <w:t>Kepulauan Selayar sebagai Bandar Maritim Kawasan Timur Indonesia</w:t>
            </w:r>
          </w:p>
        </w:tc>
      </w:tr>
      <w:tr>
        <w:tblPrEx>
          <w:tblCellMar>
            <w:top w:w="0" w:type="dxa"/>
            <w:left w:w="108" w:type="dxa"/>
            <w:bottom w:w="0" w:type="dxa"/>
            <w:right w:w="108" w:type="dxa"/>
          </w:tblCellMar>
        </w:tblPrEx>
        <w:trPr>
          <w:trHeight w:val="464"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 xml:space="preserve">Misi I : </w:t>
            </w:r>
            <w:r>
              <w:rPr>
                <w:rFonts w:ascii="Bookman Old Style" w:hAnsi="Bookman Old Style" w:eastAsia="Times New Roman" w:cs="Times New Roman"/>
                <w:b/>
                <w:color w:val="000000" w:themeColor="text1"/>
                <w:sz w:val="20"/>
                <w:szCs w:val="20"/>
                <w14:textFill>
                  <w14:solidFill>
                    <w14:schemeClr w14:val="tx1"/>
                  </w14:solidFill>
                </w14:textFill>
              </w:rPr>
              <w:t>Mengembangkan tata kelola pemerintahan yang akuntabel dan transparan</w:t>
            </w:r>
          </w:p>
        </w:tc>
      </w:tr>
      <w:tr>
        <w:tblPrEx>
          <w:tblCellMar>
            <w:top w:w="0" w:type="dxa"/>
            <w:left w:w="108" w:type="dxa"/>
            <w:bottom w:w="0" w:type="dxa"/>
            <w:right w:w="108" w:type="dxa"/>
          </w:tblCellMar>
        </w:tblPrEx>
        <w:trPr>
          <w:trHeight w:val="292"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398" w:hRule="atLeast"/>
        </w:trPr>
        <w:tc>
          <w:tcPr>
            <w:tcW w:w="1843" w:type="dxa"/>
            <w:tcBorders>
              <w:top w:val="nil"/>
              <w:left w:val="double" w:color="auto" w:sz="6"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lang w:eastAsia="en-GB"/>
                <w14:textFill>
                  <w14:solidFill>
                    <w14:schemeClr w14:val="tx1"/>
                  </w14:solidFill>
                </w14:textFill>
              </w:rPr>
            </w:pPr>
            <w:r>
              <w:rPr>
                <w:rFonts w:ascii="Bookman Old Style" w:hAnsi="Bookman Old Style" w:eastAsia="Times New Roman" w:cs="Times New Roman"/>
                <w:color w:val="000000" w:themeColor="text1"/>
                <w:sz w:val="20"/>
                <w:szCs w:val="20"/>
                <w14:textFill>
                  <w14:solidFill>
                    <w14:schemeClr w14:val="tx1"/>
                  </w14:solidFill>
                </w14:textFill>
              </w:rPr>
              <w:t>Mewujudkan reformasi birokrasi perangkat daerah</w:t>
            </w:r>
          </w:p>
        </w:tc>
        <w:tc>
          <w:tcPr>
            <w:tcW w:w="2817" w:type="dxa"/>
            <w:tcBorders>
              <w:top w:val="nil"/>
              <w:left w:val="nil"/>
              <w:bottom w:val="single" w:color="auto" w:sz="4" w:space="0"/>
              <w:right w:val="nil"/>
            </w:tcBorders>
            <w:shd w:val="clear" w:color="auto" w:fill="auto"/>
          </w:tcPr>
          <w:p>
            <w:pPr>
              <w:tabs>
                <w:tab w:val="left" w:pos="341"/>
              </w:tabs>
              <w:spacing w:before="0" w:beforeAutospacing="0" w:after="0" w:afterAutospacing="0" w:line="240" w:lineRule="auto"/>
              <w:rPr>
                <w:rFonts w:ascii="Bookman Old Style" w:hAnsi="Bookman Old Style" w:eastAsia="Times New Roman" w:cs="Tahoma"/>
                <w:color w:val="000000" w:themeColor="text1"/>
                <w:sz w:val="20"/>
                <w:szCs w:val="20"/>
                <w:lang w:eastAsia="en-GB"/>
                <w14:textFill>
                  <w14:solidFill>
                    <w14:schemeClr w14:val="tx1"/>
                  </w14:solidFill>
                </w14:textFill>
              </w:rPr>
            </w:pPr>
            <w:r>
              <w:rPr>
                <w:rFonts w:ascii="Bookman Old Style" w:hAnsi="Bookman Old Style" w:eastAsia="Times New Roman" w:cs="Tahoma"/>
                <w:color w:val="000000" w:themeColor="text1"/>
                <w:sz w:val="20"/>
                <w:szCs w:val="20"/>
                <w:lang w:eastAsia="en-GB"/>
                <w14:textFill>
                  <w14:solidFill>
                    <w14:schemeClr w14:val="tx1"/>
                  </w14:solidFill>
                </w14:textFill>
              </w:rPr>
              <w:t>Meningkatkan Kepercayaan Masyarakat terhadap pelayanan perangkat daerah</w:t>
            </w:r>
          </w:p>
        </w:tc>
        <w:tc>
          <w:tcPr>
            <w:tcW w:w="6539" w:type="dxa"/>
            <w:tcBorders>
              <w:top w:val="nil"/>
              <w:left w:val="single" w:color="auto" w:sz="4" w:space="0"/>
              <w:bottom w:val="single" w:color="auto" w:sz="4" w:space="0"/>
              <w:right w:val="nil"/>
            </w:tcBorders>
            <w:shd w:val="clear" w:color="auto" w:fill="auto"/>
          </w:tcPr>
          <w:p>
            <w:pPr>
              <w:numPr>
                <w:ilvl w:val="0"/>
                <w:numId w:val="120"/>
              </w:numPr>
              <w:spacing w:before="0" w:beforeAutospacing="0" w:after="0" w:afterAutospacing="0" w:line="240" w:lineRule="auto"/>
              <w:ind w:left="228" w:hanging="218"/>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Meningkatkan kapabilitas dan keunggulan SDM aparatur yang ditunjang perangkat teknologi informasi yang baik</w:t>
            </w:r>
          </w:p>
          <w:p>
            <w:pPr>
              <w:numPr>
                <w:ilvl w:val="0"/>
                <w:numId w:val="120"/>
              </w:numPr>
              <w:spacing w:before="0" w:beforeAutospacing="0" w:after="0" w:afterAutospacing="0" w:line="240" w:lineRule="auto"/>
              <w:ind w:left="228" w:hanging="218"/>
              <w:jc w:val="both"/>
              <w:rPr>
                <w:rFonts w:ascii="Bookman Old Style" w:hAnsi="Bookman Old Style" w:eastAsia="Times New Roman" w:cs="Times New Roman"/>
                <w:color w:val="000000" w:themeColor="text1"/>
                <w:sz w:val="20"/>
                <w:szCs w:val="20"/>
                <w:lang w:eastAsia="id-ID"/>
                <w14:textFill>
                  <w14:solidFill>
                    <w14:schemeClr w14:val="tx1"/>
                  </w14:solidFill>
                </w14:textFill>
              </w:rPr>
            </w:pPr>
            <w:r>
              <w:rPr>
                <w:rFonts w:ascii="Bookman Old Style" w:hAnsi="Bookman Old Style" w:eastAsia="Times New Roman" w:cs="Times New Roman"/>
                <w:color w:val="000000" w:themeColor="text1"/>
                <w:sz w:val="20"/>
                <w:szCs w:val="20"/>
                <w:lang w:eastAsia="id-ID"/>
                <w14:textFill>
                  <w14:solidFill>
                    <w14:schemeClr w14:val="tx1"/>
                  </w14:solidFill>
                </w14:textFill>
              </w:rPr>
              <w:t>Meningkatkan kualitas perencanaan yang berorientasi hasil</w:t>
            </w:r>
          </w:p>
          <w:p>
            <w:pPr>
              <w:numPr>
                <w:ilvl w:val="0"/>
                <w:numId w:val="120"/>
              </w:numPr>
              <w:spacing w:after="0" w:line="240" w:lineRule="auto"/>
              <w:ind w:left="228" w:hanging="218"/>
              <w:contextualSpacing/>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Meningkatkan pengelolaan keuangan dan aset daerah berdasarkan peraturan perundang-undangan yang berlaku</w:t>
            </w:r>
          </w:p>
        </w:tc>
        <w:tc>
          <w:tcPr>
            <w:tcW w:w="5528" w:type="dxa"/>
            <w:tcBorders>
              <w:top w:val="nil"/>
              <w:left w:val="single" w:color="auto" w:sz="4" w:space="0"/>
              <w:bottom w:val="single" w:color="auto" w:sz="4" w:space="0"/>
              <w:right w:val="double" w:color="auto" w:sz="6" w:space="0"/>
            </w:tcBorders>
            <w:shd w:val="clear" w:color="auto" w:fill="auto"/>
          </w:tcPr>
          <w:p>
            <w:pPr>
              <w:numPr>
                <w:ilvl w:val="0"/>
                <w:numId w:val="120"/>
              </w:numPr>
              <w:spacing w:after="0" w:line="240" w:lineRule="auto"/>
              <w:ind w:left="173" w:right="1026" w:hanging="218"/>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r>
              <w:rPr>
                <w:rFonts w:ascii="Bookman Old Style" w:hAnsi="Bookman Old Style" w:eastAsia="Times New Roman" w:cs="Tahoma"/>
                <w:color w:val="000000" w:themeColor="text1"/>
                <w:sz w:val="20"/>
                <w:szCs w:val="20"/>
                <w:lang w:val="en-GB" w:eastAsia="en-GB"/>
                <w14:textFill>
                  <w14:solidFill>
                    <w14:schemeClr w14:val="tx1"/>
                  </w14:solidFill>
                </w14:textFill>
              </w:rPr>
              <w:t>Peningkatan kedisplinan dan kapasitas sumber daya aparatur</w:t>
            </w:r>
          </w:p>
          <w:p>
            <w:pPr>
              <w:numPr>
                <w:ilvl w:val="0"/>
                <w:numId w:val="120"/>
              </w:numPr>
              <w:spacing w:after="0" w:line="240" w:lineRule="auto"/>
              <w:ind w:left="173" w:right="1026" w:hanging="218"/>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r>
              <w:rPr>
                <w:rFonts w:ascii="Bookman Old Style" w:hAnsi="Bookman Old Style" w:eastAsia="Times New Roman" w:cs="Tahoma"/>
                <w:color w:val="000000" w:themeColor="text1"/>
                <w:sz w:val="20"/>
                <w:szCs w:val="20"/>
                <w:lang w:val="en-GB" w:eastAsia="en-GB"/>
                <w14:textFill>
                  <w14:solidFill>
                    <w14:schemeClr w14:val="tx1"/>
                  </w14:solidFill>
                </w14:textFill>
              </w:rPr>
              <w:t>Peningkatan sarana dan prasanara aparatur</w:t>
            </w:r>
          </w:p>
          <w:p>
            <w:pPr>
              <w:spacing w:after="0" w:line="240" w:lineRule="auto"/>
              <w:ind w:left="173" w:right="1026"/>
              <w:contextualSpacing/>
              <w:rPr>
                <w:rFonts w:ascii="Bookman Old Style" w:hAnsi="Bookman Old Style" w:eastAsia="Times New Roman" w:cs="Tahoma"/>
                <w:color w:val="000000" w:themeColor="text1"/>
                <w:sz w:val="20"/>
                <w:szCs w:val="20"/>
                <w:lang w:val="en-GB" w:eastAsia="en-GB"/>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 xml:space="preserve">Misi III : </w:t>
            </w:r>
            <w:r>
              <w:rPr>
                <w:rFonts w:ascii="Bookman Old Style" w:hAnsi="Bookman Old Style" w:eastAsia="Times New Roman" w:cs="Tahoma"/>
                <w:b/>
                <w:color w:val="000000" w:themeColor="text1"/>
                <w:sz w:val="23"/>
                <w:szCs w:val="23"/>
                <w14:textFill>
                  <w14:solidFill>
                    <w14:schemeClr w14:val="tx1"/>
                  </w14:solidFill>
                </w14:textFill>
              </w:rPr>
              <w:t>Meningkatkan kualitas hidup masyarakat</w:t>
            </w:r>
          </w:p>
        </w:tc>
      </w:tr>
      <w:tr>
        <w:tblPrEx>
          <w:tblCellMar>
            <w:top w:w="0" w:type="dxa"/>
            <w:left w:w="108" w:type="dxa"/>
            <w:bottom w:w="0" w:type="dxa"/>
            <w:right w:w="108" w:type="dxa"/>
          </w:tblCellMar>
        </w:tblPrEx>
        <w:trPr>
          <w:trHeight w:val="419"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0"/>
                <w:szCs w:val="20"/>
                <w:lang w:val="en-GB" w:eastAsia="en-GB"/>
                <w14:textFill>
                  <w14:solidFill>
                    <w14:schemeClr w14:val="tx1"/>
                  </w14:solidFill>
                </w14:textFill>
              </w:rPr>
            </w:pPr>
            <w:r>
              <w:rPr>
                <w:rFonts w:ascii="Bookman Old Style" w:hAnsi="Bookman Old Style" w:eastAsia="Times New Roman" w:cs="Tahoma"/>
                <w:b/>
                <w:bCs/>
                <w:color w:val="000000" w:themeColor="text1"/>
                <w:sz w:val="20"/>
                <w:szCs w:val="20"/>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3418" w:hRule="atLeast"/>
        </w:trPr>
        <w:tc>
          <w:tcPr>
            <w:tcW w:w="1843" w:type="dxa"/>
            <w:tcBorders>
              <w:top w:val="nil"/>
              <w:left w:val="double" w:color="auto" w:sz="6"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Meningkatkan kemandirian Pelaku usaha</w:t>
            </w:r>
          </w:p>
        </w:tc>
        <w:tc>
          <w:tcPr>
            <w:tcW w:w="2817" w:type="dxa"/>
            <w:tcBorders>
              <w:top w:val="nil"/>
              <w:left w:val="nil"/>
              <w:bottom w:val="single" w:color="auto" w:sz="4" w:space="0"/>
              <w:right w:val="nil"/>
            </w:tcBorders>
            <w:shd w:val="clear" w:color="auto" w:fill="auto"/>
          </w:tcPr>
          <w:p>
            <w:pPr>
              <w:spacing w:after="0" w:line="240" w:lineRule="auto"/>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Meningkatnya kualitas kelembagaan, produktivitas dan daya saing serta kemandirian pelaku usaha</w:t>
            </w:r>
          </w:p>
        </w:tc>
        <w:tc>
          <w:tcPr>
            <w:tcW w:w="6539" w:type="dxa"/>
            <w:tcBorders>
              <w:top w:val="nil"/>
              <w:left w:val="single" w:color="auto" w:sz="4" w:space="0"/>
              <w:bottom w:val="single" w:color="auto" w:sz="4" w:space="0"/>
              <w:right w:val="nil"/>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 xml:space="preserve">Optimalisasi peranan pelaku usaha </w:t>
            </w:r>
            <w:r>
              <w:rPr>
                <w:rFonts w:ascii="Bookman Old Style" w:hAnsi="Bookman Old Style" w:eastAsia="Times New Roman" w:cs="Tahoma"/>
                <w:color w:val="000000" w:themeColor="text1"/>
                <w:lang w:val="es-ES"/>
                <w14:textFill>
                  <w14:solidFill>
                    <w14:schemeClr w14:val="tx1"/>
                  </w14:solidFill>
                </w14:textFill>
              </w:rPr>
              <w:t>dalam mengelola SDA menjadi produk yang bermutu yang mampu bersaing dalam pasar global</w:t>
            </w:r>
            <w:r>
              <w:rPr>
                <w:rFonts w:ascii="Bookman Old Style" w:hAnsi="Bookman Old Style" w:eastAsia="Times New Roman" w:cs="Tahoma"/>
                <w:color w:val="000000" w:themeColor="text1"/>
                <w14:textFill>
                  <w14:solidFill>
                    <w14:schemeClr w14:val="tx1"/>
                  </w14:solidFill>
                </w14:textFill>
              </w:rPr>
              <w:t xml:space="preserve"> </w:t>
            </w:r>
          </w:p>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14:textFill>
                  <w14:solidFill>
                    <w14:schemeClr w14:val="tx1"/>
                  </w14:solidFill>
                </w14:textFill>
              </w:rPr>
              <w:t xml:space="preserve">Mendukung program gerbang sari didalam pengembangan SDM masyarakat </w:t>
            </w:r>
            <w:r>
              <w:rPr>
                <w:rFonts w:ascii="Bookman Old Style" w:hAnsi="Bookman Old Style" w:eastAsia="Times New Roman" w:cs="Tahoma"/>
                <w:color w:val="000000" w:themeColor="text1"/>
                <w:lang w:val="es-ES"/>
                <w14:textFill>
                  <w14:solidFill>
                    <w14:schemeClr w14:val="tx1"/>
                  </w14:solidFill>
                </w14:textFill>
              </w:rPr>
              <w:t xml:space="preserve">dan pelaku usaha </w:t>
            </w:r>
            <w:r>
              <w:rPr>
                <w:rFonts w:ascii="Bookman Old Style" w:hAnsi="Bookman Old Style" w:eastAsia="Times New Roman" w:cs="Tahoma"/>
                <w:color w:val="000000" w:themeColor="text1"/>
                <w14:textFill>
                  <w14:solidFill>
                    <w14:schemeClr w14:val="tx1"/>
                  </w14:solidFill>
                </w14:textFill>
              </w:rPr>
              <w:t xml:space="preserve">perdagangan dan pelaku UKM, jalan, infrastruktur desa, air bersih, pelayanan publik, pendidikan, perdagangan, koperasi desa </w:t>
            </w:r>
          </w:p>
          <w:p>
            <w:pPr>
              <w:numPr>
                <w:ilvl w:val="0"/>
                <w:numId w:val="120"/>
              </w:numPr>
              <w:spacing w:after="0" w:line="240" w:lineRule="auto"/>
              <w:ind w:left="175" w:hanging="218"/>
              <w:contextualSpacing/>
              <w:rPr>
                <w:rFonts w:ascii="Bookman Old Style" w:hAnsi="Bookman Old Style" w:eastAsia="Times New Roman" w:cs="Tahoma"/>
                <w:color w:val="000000" w:themeColor="text1"/>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Pengembangan Koperasi dan UMKM yang maju, berdaulat dalam mendukung program prioritas pembangunan PDL, KIPT, KEK dan dan program gerakan membangun desa mandiri di 11 kecamatan di Kabupaten Kepulauan Selayar</w:t>
            </w:r>
          </w:p>
        </w:tc>
        <w:tc>
          <w:tcPr>
            <w:tcW w:w="5528" w:type="dxa"/>
            <w:tcBorders>
              <w:top w:val="nil"/>
              <w:left w:val="single" w:color="auto" w:sz="4" w:space="0"/>
              <w:bottom w:val="single" w:color="auto" w:sz="4" w:space="0"/>
              <w:right w:val="double" w:color="auto" w:sz="6" w:space="0"/>
            </w:tcBorders>
            <w:shd w:val="clear" w:color="auto" w:fill="auto"/>
          </w:tcPr>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Peningkatan kapasitas SDM, sarana dan prasarana untuk desa</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 xml:space="preserve">Peningkatan pengembangan ilmu pengetahuan dan teknologi tingkat desa  </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Pembinaan dan peningkatan keberdayaan penduduk miskin</w:t>
            </w:r>
          </w:p>
          <w:p>
            <w:pPr>
              <w:numPr>
                <w:ilvl w:val="0"/>
                <w:numId w:val="120"/>
              </w:numPr>
              <w:spacing w:after="0" w:line="240" w:lineRule="auto"/>
              <w:ind w:left="173" w:right="222" w:hanging="218"/>
              <w:contextualSpacing/>
              <w:jc w:val="both"/>
              <w:rPr>
                <w:rFonts w:ascii="Bookman Old Style" w:hAnsi="Bookman Old Style" w:eastAsia="Times New Roman" w:cs="Tahoma"/>
                <w:color w:val="000000" w:themeColor="text1"/>
                <w:lang w:val="en-GB" w:eastAsia="en-GB"/>
                <w14:textFill>
                  <w14:solidFill>
                    <w14:schemeClr w14:val="tx1"/>
                  </w14:solidFill>
                </w14:textFill>
              </w:rPr>
            </w:pPr>
            <w:r>
              <w:rPr>
                <w:rFonts w:ascii="Bookman Old Style" w:hAnsi="Bookman Old Style" w:eastAsia="Times New Roman" w:cs="Tahoma"/>
                <w:color w:val="000000" w:themeColor="text1"/>
                <w:lang w:val="en-GB" w:eastAsia="en-GB"/>
                <w14:textFill>
                  <w14:solidFill>
                    <w14:schemeClr w14:val="tx1"/>
                  </w14:solidFill>
                </w14:textFill>
              </w:rPr>
              <w:t xml:space="preserve">Perluasan lapangan kerja </w:t>
            </w:r>
          </w:p>
          <w:p>
            <w:pPr>
              <w:spacing w:after="0" w:line="240" w:lineRule="auto"/>
              <w:ind w:right="222"/>
              <w:jc w:val="both"/>
              <w:rPr>
                <w:rFonts w:ascii="Bookman Old Style" w:hAnsi="Bookman Old Style" w:eastAsia="Times New Roman" w:cs="Tahoma"/>
                <w:color w:val="000000" w:themeColor="text1"/>
                <w:lang w:val="en-GB" w:eastAsia="en-GB"/>
                <w14:textFill>
                  <w14:solidFill>
                    <w14:schemeClr w14:val="tx1"/>
                  </w14:solidFill>
                </w14:textFill>
              </w:rPr>
            </w:pPr>
          </w:p>
        </w:tc>
      </w:tr>
    </w:tbl>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Kab. Kepulauan Selayar (Setelah Perubahan)</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tbl>
      <w:tblPr>
        <w:tblStyle w:val="4"/>
        <w:tblW w:w="16727" w:type="dxa"/>
        <w:tblInd w:w="108" w:type="dxa"/>
        <w:tblLayout w:type="autofit"/>
        <w:tblCellMar>
          <w:top w:w="0" w:type="dxa"/>
          <w:left w:w="108" w:type="dxa"/>
          <w:bottom w:w="0" w:type="dxa"/>
          <w:right w:w="108" w:type="dxa"/>
        </w:tblCellMar>
      </w:tblPr>
      <w:tblGrid>
        <w:gridCol w:w="1843"/>
        <w:gridCol w:w="2817"/>
        <w:gridCol w:w="6539"/>
        <w:gridCol w:w="5528"/>
      </w:tblGrid>
      <w:tr>
        <w:tblPrEx>
          <w:tblCellMar>
            <w:top w:w="0" w:type="dxa"/>
            <w:left w:w="108" w:type="dxa"/>
            <w:bottom w:w="0" w:type="dxa"/>
            <w:right w:w="108" w:type="dxa"/>
          </w:tblCellMar>
        </w:tblPrEx>
        <w:trPr>
          <w:trHeight w:val="418" w:hRule="atLeast"/>
        </w:trPr>
        <w:tc>
          <w:tcPr>
            <w:tcW w:w="16727" w:type="dxa"/>
            <w:gridSpan w:val="4"/>
            <w:tcBorders>
              <w:top w:val="single" w:color="auto" w:sz="4" w:space="0"/>
              <w:left w:val="double" w:color="auto" w:sz="6" w:space="0"/>
              <w:bottom w:val="single" w:color="auto" w:sz="4" w:space="0"/>
              <w:right w:val="double" w:color="000000" w:sz="6" w:space="0"/>
            </w:tcBorders>
            <w:shd w:val="clear" w:color="000000" w:fill="FFFF00"/>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 xml:space="preserve">Misi IV. </w:t>
            </w:r>
            <w:r>
              <w:rPr>
                <w:rFonts w:ascii="Bookman Old Style" w:hAnsi="Bookman Old Style" w:eastAsia="Times New Roman" w:cs="Tahoma"/>
                <w:b/>
                <w:bCs/>
                <w:color w:val="000000" w:themeColor="text1"/>
                <w:sz w:val="23"/>
                <w:szCs w:val="23"/>
                <w:lang w:eastAsia="en-GB"/>
                <w14:textFill>
                  <w14:solidFill>
                    <w14:schemeClr w14:val="tx1"/>
                  </w14:solidFill>
                </w14:textFill>
              </w:rPr>
              <w:t>Mengembangkan Pengelolaan Potensi Kemaritiman</w:t>
            </w:r>
          </w:p>
        </w:tc>
      </w:tr>
      <w:tr>
        <w:tblPrEx>
          <w:tblCellMar>
            <w:top w:w="0" w:type="dxa"/>
            <w:left w:w="108" w:type="dxa"/>
            <w:bottom w:w="0" w:type="dxa"/>
            <w:right w:w="108" w:type="dxa"/>
          </w:tblCellMar>
        </w:tblPrEx>
        <w:trPr>
          <w:trHeight w:val="419" w:hRule="atLeast"/>
        </w:trPr>
        <w:tc>
          <w:tcPr>
            <w:tcW w:w="1843" w:type="dxa"/>
            <w:tcBorders>
              <w:top w:val="nil"/>
              <w:left w:val="double" w:color="auto" w:sz="6"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Tujuan</w:t>
            </w:r>
          </w:p>
        </w:tc>
        <w:tc>
          <w:tcPr>
            <w:tcW w:w="2817" w:type="dxa"/>
            <w:tcBorders>
              <w:top w:val="nil"/>
              <w:left w:val="nil"/>
              <w:bottom w:val="single" w:color="auto" w:sz="4" w:space="0"/>
              <w:right w:val="nil"/>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Sasaran</w:t>
            </w:r>
          </w:p>
        </w:tc>
        <w:tc>
          <w:tcPr>
            <w:tcW w:w="6539" w:type="dxa"/>
            <w:tcBorders>
              <w:top w:val="nil"/>
              <w:left w:val="single" w:color="auto" w:sz="4" w:space="0"/>
              <w:bottom w:val="single" w:color="auto" w:sz="4" w:space="0"/>
              <w:right w:val="single" w:color="auto" w:sz="4"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Strategi</w:t>
            </w:r>
          </w:p>
        </w:tc>
        <w:tc>
          <w:tcPr>
            <w:tcW w:w="5528" w:type="dxa"/>
            <w:tcBorders>
              <w:top w:val="nil"/>
              <w:left w:val="nil"/>
              <w:bottom w:val="single" w:color="auto" w:sz="4" w:space="0"/>
              <w:right w:val="double" w:color="auto" w:sz="6" w:space="0"/>
            </w:tcBorders>
            <w:shd w:val="clear" w:color="000000" w:fill="E6B8B7"/>
            <w:vAlign w:val="center"/>
          </w:tcPr>
          <w:p>
            <w:pPr>
              <w:spacing w:after="0" w:line="240" w:lineRule="auto"/>
              <w:jc w:val="center"/>
              <w:rPr>
                <w:rFonts w:ascii="Bookman Old Style" w:hAnsi="Bookman Old Style" w:eastAsia="Times New Roman" w:cs="Tahoma"/>
                <w:b/>
                <w:bCs/>
                <w:color w:val="000000" w:themeColor="text1"/>
                <w:sz w:val="23"/>
                <w:szCs w:val="23"/>
                <w:lang w:val="en-GB" w:eastAsia="en-GB"/>
                <w14:textFill>
                  <w14:solidFill>
                    <w14:schemeClr w14:val="tx1"/>
                  </w14:solidFill>
                </w14:textFill>
              </w:rPr>
            </w:pPr>
            <w:r>
              <w:rPr>
                <w:rFonts w:ascii="Bookman Old Style" w:hAnsi="Bookman Old Style" w:eastAsia="Times New Roman" w:cs="Tahoma"/>
                <w:b/>
                <w:bCs/>
                <w:color w:val="000000" w:themeColor="text1"/>
                <w:sz w:val="23"/>
                <w:szCs w:val="23"/>
                <w:lang w:val="en-GB" w:eastAsia="en-GB"/>
                <w14:textFill>
                  <w14:solidFill>
                    <w14:schemeClr w14:val="tx1"/>
                  </w14:solidFill>
                </w14:textFill>
              </w:rPr>
              <w:t>Arah Kebijakan</w:t>
            </w:r>
          </w:p>
        </w:tc>
      </w:tr>
      <w:tr>
        <w:tblPrEx>
          <w:tblCellMar>
            <w:top w:w="0" w:type="dxa"/>
            <w:left w:w="108" w:type="dxa"/>
            <w:bottom w:w="0" w:type="dxa"/>
            <w:right w:w="108" w:type="dxa"/>
          </w:tblCellMar>
        </w:tblPrEx>
        <w:trPr>
          <w:trHeight w:val="1893" w:hRule="atLeast"/>
        </w:trPr>
        <w:tc>
          <w:tcPr>
            <w:tcW w:w="1843" w:type="dxa"/>
            <w:tcBorders>
              <w:top w:val="single" w:color="auto" w:sz="4" w:space="0"/>
              <w:left w:val="double" w:color="auto" w:sz="6" w:space="0"/>
              <w:bottom w:val="single" w:color="000000"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Meningkatkan  penguatan pasar daerah guna meningkatkan perdagangan dalam negeri</w:t>
            </w:r>
          </w:p>
        </w:tc>
        <w:tc>
          <w:tcPr>
            <w:tcW w:w="2817" w:type="dxa"/>
            <w:tcBorders>
              <w:top w:val="single" w:color="auto" w:sz="4" w:space="0"/>
              <w:left w:val="single" w:color="auto" w:sz="4" w:space="0"/>
              <w:bottom w:val="single" w:color="000000"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3"/>
                <w:szCs w:val="23"/>
                <w:lang w:eastAsia="en-GB"/>
                <w14:textFill>
                  <w14:solidFill>
                    <w14:schemeClr w14:val="tx1"/>
                  </w14:solidFill>
                </w14:textFill>
              </w:rPr>
            </w:pPr>
            <w:r>
              <w:rPr>
                <w:rFonts w:ascii="Bookman Old Style" w:hAnsi="Bookman Old Style" w:eastAsia="Times New Roman" w:cs="Tahoma"/>
                <w:color w:val="000000" w:themeColor="text1"/>
                <w:sz w:val="23"/>
                <w:szCs w:val="23"/>
                <w14:textFill>
                  <w14:solidFill>
                    <w14:schemeClr w14:val="tx1"/>
                  </w14:solidFill>
                </w14:textFill>
              </w:rPr>
              <w:t>Meningkatnya potensi ketersediaan fasilitas perdagangan dan penguatan pengawasan perdagangan</w:t>
            </w:r>
          </w:p>
        </w:tc>
        <w:tc>
          <w:tcPr>
            <w:tcW w:w="6539" w:type="dxa"/>
            <w:tcBorders>
              <w:top w:val="single" w:color="auto" w:sz="4" w:space="0"/>
              <w:left w:val="single" w:color="auto" w:sz="4" w:space="0"/>
              <w:bottom w:val="single" w:color="000000" w:sz="4" w:space="0"/>
              <w:right w:val="single" w:color="auto" w:sz="4" w:space="0"/>
            </w:tcBorders>
            <w:shd w:val="clear" w:color="auto" w:fill="auto"/>
          </w:tcPr>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Stabilisasi harga dan ketersediaan pasokan bahan pangan  </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Peningkatan pasar produk dalam negeri </w:t>
            </w:r>
          </w:p>
          <w:p>
            <w:pPr>
              <w:numPr>
                <w:ilvl w:val="0"/>
                <w:numId w:val="120"/>
              </w:numPr>
              <w:spacing w:after="0" w:line="240" w:lineRule="auto"/>
              <w:ind w:left="175" w:hanging="218"/>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Peningkatan kapasitas dan peran kelembagaan ekonomi kerakyatan</w:t>
            </w:r>
          </w:p>
          <w:p>
            <w:pPr>
              <w:numPr>
                <w:ilvl w:val="0"/>
                <w:numId w:val="120"/>
              </w:numPr>
              <w:spacing w:after="0" w:line="240" w:lineRule="auto"/>
              <w:ind w:left="175" w:hanging="218"/>
              <w:contextualSpacing/>
              <w:rPr>
                <w:rFonts w:ascii="Times New Roman" w:hAnsi="Times New Roman" w:eastAsia="Times New Roman" w:cs="Times New Roman"/>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Peningkatan Peranan kelembagaan/investor dalam dan luar negeri</w:t>
            </w:r>
          </w:p>
        </w:tc>
        <w:tc>
          <w:tcPr>
            <w:tcW w:w="5528" w:type="dxa"/>
            <w:tcBorders>
              <w:top w:val="nil"/>
              <w:left w:val="nil"/>
              <w:bottom w:val="single" w:color="auto" w:sz="4" w:space="0"/>
              <w:right w:val="double" w:color="auto" w:sz="6" w:space="0"/>
            </w:tcBorders>
            <w:shd w:val="clear" w:color="auto" w:fill="auto"/>
          </w:tcPr>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Peningkatan Jaringan Distribusi Logistik adalah dengan meningkatkan jaringan distribusi nasional untuk menjadikan Kepulauan Selayar sebagai Pusat Distribusi Logistik kawasan Timur Indonesia;</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Pengembangan Kawasan distribusi logistik, untuk ketersediaan sarana dan prasarana penunjang kegiatan</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bCs/>
                <w:sz w:val="23"/>
                <w:szCs w:val="23"/>
              </w:rPr>
              <w:t>Peningkatan efektivitas pengawasan dan iklim usaha perdagangan</w:t>
            </w: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 </w:t>
            </w:r>
          </w:p>
          <w:p>
            <w:pPr>
              <w:numPr>
                <w:ilvl w:val="0"/>
                <w:numId w:val="120"/>
              </w:numPr>
              <w:spacing w:after="0" w:line="240" w:lineRule="auto"/>
              <w:ind w:left="317" w:hanging="284"/>
              <w:contextualSpacing/>
              <w:rPr>
                <w:rFonts w:ascii="Bookman Old Style" w:hAnsi="Bookman Old Style" w:eastAsia="Times New Roman" w:cs="Tahoma"/>
                <w:color w:val="000000" w:themeColor="text1"/>
                <w:sz w:val="23"/>
                <w:szCs w:val="23"/>
                <w:lang w:val="en-GB" w:eastAsia="en-GB"/>
                <w14:textFill>
                  <w14:solidFill>
                    <w14:schemeClr w14:val="tx1"/>
                  </w14:solidFill>
                </w14:textFill>
              </w:rPr>
            </w:pPr>
            <w:r>
              <w:rPr>
                <w:rFonts w:ascii="Bookman Old Style" w:hAnsi="Bookman Old Style" w:eastAsia="Times New Roman" w:cs="Tahoma"/>
                <w:color w:val="000000" w:themeColor="text1"/>
                <w:sz w:val="23"/>
                <w:szCs w:val="23"/>
                <w:lang w:val="en-GB" w:eastAsia="en-GB"/>
                <w14:textFill>
                  <w14:solidFill>
                    <w14:schemeClr w14:val="tx1"/>
                  </w14:solidFill>
                </w14:textFill>
              </w:rPr>
              <w:t xml:space="preserve">Meningkatkan perdagangan daerah dengan penguatan pasar dalam negeri </w:t>
            </w:r>
          </w:p>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p>
          <w:p>
            <w:pPr>
              <w:spacing w:after="0" w:line="240" w:lineRule="auto"/>
              <w:rPr>
                <w:rFonts w:ascii="Bookman Old Style" w:hAnsi="Bookman Old Style" w:eastAsia="Times New Roman" w:cs="Tahoma"/>
                <w:color w:val="000000" w:themeColor="text1"/>
                <w:sz w:val="23"/>
                <w:szCs w:val="23"/>
                <w:lang w:val="en-GB" w:eastAsia="en-GB"/>
                <w14:textFill>
                  <w14:solidFill>
                    <w14:schemeClr w14:val="tx1"/>
                  </w14:solidFill>
                </w14:textFill>
              </w:rPr>
            </w:pPr>
          </w:p>
        </w:tc>
      </w:tr>
    </w:tbl>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sectPr>
          <w:pgSz w:w="20160" w:h="12240" w:orient="landscape"/>
          <w:pgMar w:top="1134" w:right="2098" w:bottom="1701" w:left="1134" w:header="720" w:footer="1094" w:gutter="0"/>
          <w:cols w:space="720" w:num="1"/>
        </w:sectPr>
      </w:pPr>
    </w:p>
    <w:p>
      <w:pPr>
        <w:tabs>
          <w:tab w:val="left" w:pos="1701"/>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Selayar Sebagaimanna digambarkan pada visi, misi, program Bupati/Wakil Bupati terpilih, program prioritas Kabupaten Kepulauan Selayar yaitu 3 (tiga) pilar pembangunan dan satu program unggulan sebagai penopang dari visi bandar maritim.</w:t>
      </w:r>
    </w:p>
    <w:p>
      <w:pPr>
        <w:tabs>
          <w:tab w:val="left" w:pos="1701"/>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Program Prioritas tersebut terdiri atas :</w:t>
      </w:r>
    </w:p>
    <w:p>
      <w:pPr>
        <w:numPr>
          <w:ilvl w:val="3"/>
          <w:numId w:val="118"/>
        </w:numPr>
        <w:spacing w:after="0" w:line="360" w:lineRule="auto"/>
        <w:ind w:left="993"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Pembangunan Pusat Distribusi Logistik (PDL)</w:t>
      </w:r>
    </w:p>
    <w:p>
      <w:pPr>
        <w:numPr>
          <w:ilvl w:val="3"/>
          <w:numId w:val="118"/>
        </w:numPr>
        <w:spacing w:after="0" w:line="360" w:lineRule="auto"/>
        <w:ind w:left="993"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Pembangunan Kawasan Ekonomi Khusus (KEK) Periwisata</w:t>
      </w:r>
    </w:p>
    <w:p>
      <w:pPr>
        <w:numPr>
          <w:ilvl w:val="3"/>
          <w:numId w:val="118"/>
        </w:numPr>
        <w:spacing w:after="0" w:line="360" w:lineRule="auto"/>
        <w:ind w:left="993" w:hanging="426"/>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Pembangunan Kawasan Industri Perikanan Terpadu (KIPT)</w:t>
      </w:r>
    </w:p>
    <w:p>
      <w:pPr>
        <w:tabs>
          <w:tab w:val="left" w:pos="1701"/>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Program pendukung yaitu :</w:t>
      </w:r>
    </w:p>
    <w:p>
      <w:pPr>
        <w:tabs>
          <w:tab w:val="left" w:pos="1701"/>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Gerakan membangun desa mandiri (Gerbang Sari)</w:t>
      </w:r>
    </w:p>
    <w:p>
      <w:pPr>
        <w:tabs>
          <w:tab w:val="left" w:pos="1701"/>
        </w:tabs>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Mengacu pada tujuan, sasaran strategi dan arah kebijakan Dinas Perdagangan, Koperasi dan Usaha Kecil dan Menengah, peran dinas dalam mendukung Program Prioritas dan Program Unggulan untuk 5 (lima) tahun kedepan antara lain :</w:t>
      </w:r>
    </w:p>
    <w:p>
      <w:pPr>
        <w:numPr>
          <w:ilvl w:val="3"/>
          <w:numId w:val="118"/>
        </w:numPr>
        <w:autoSpaceDE w:val="0"/>
        <w:autoSpaceDN w:val="0"/>
        <w:adjustRightInd w:val="0"/>
        <w:spacing w:after="0" w:line="360" w:lineRule="auto"/>
        <w:ind w:left="993" w:hanging="426"/>
        <w:jc w:val="both"/>
        <w:rPr>
          <w:rFonts w:ascii="Bookman Old Style" w:hAnsi="Bookman Old Style" w:eastAsia="Times New Roman" w:cs="Tahoma"/>
          <w:bCs/>
          <w:color w:val="000000"/>
          <w:sz w:val="24"/>
          <w:szCs w:val="24"/>
          <w:lang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Dalam mendukung pembangunan Pusat Distribusi Logistik (PDL), dinas </w:t>
      </w:r>
      <w:r>
        <w:rPr>
          <w:rFonts w:ascii="Bookman Old Style" w:hAnsi="Bookman Old Style" w:eastAsia="Times New Roman" w:cs="Tahoma"/>
          <w:bCs/>
          <w:color w:val="000000"/>
          <w:sz w:val="24"/>
          <w:szCs w:val="24"/>
          <w:lang w:eastAsia="id-ID"/>
        </w:rPr>
        <w:t>focus pada kegiatan prioritas p</w:t>
      </w:r>
      <w:r>
        <w:rPr>
          <w:rFonts w:ascii="Bookman Old Style" w:hAnsi="Bookman Old Style" w:eastAsia="Times New Roman" w:cs="Tahoma"/>
          <w:bCs/>
          <w:sz w:val="24"/>
          <w:szCs w:val="24"/>
          <w:lang w:eastAsia="id-ID"/>
        </w:rPr>
        <w:t>eningkatan Jaringan Distribusi Logistik adalah dengan meningkatkan jaringan distribusi nasional untuk menjadikan Kepulauan Selayar sebagai Pusat Distribusi Logistik kawasan Timur Indonesia, pengembangan kawasan distribusi logistik, untuk ketersediaan sarana dan prasarana penunjang kegiatan, p</w:t>
      </w:r>
      <w:r>
        <w:rPr>
          <w:rFonts w:ascii="Bookman Old Style" w:hAnsi="Bookman Old Style" w:eastAsia="Times New Roman" w:cs="Tahoma"/>
          <w:bCs/>
          <w:color w:val="000000"/>
          <w:sz w:val="24"/>
          <w:szCs w:val="24"/>
          <w:lang w:eastAsia="id-ID"/>
        </w:rPr>
        <w:t>eningkatan efektivitas pengawasan dan iklim usaha perdagangan</w:t>
      </w:r>
    </w:p>
    <w:p>
      <w:pPr>
        <w:numPr>
          <w:ilvl w:val="3"/>
          <w:numId w:val="118"/>
        </w:numPr>
        <w:autoSpaceDE w:val="0"/>
        <w:autoSpaceDN w:val="0"/>
        <w:adjustRightInd w:val="0"/>
        <w:spacing w:after="0" w:line="360" w:lineRule="auto"/>
        <w:ind w:left="993" w:hanging="360"/>
        <w:jc w:val="both"/>
        <w:rPr>
          <w:rFonts w:ascii="Bookman Old Style" w:hAnsi="Bookman Old Style" w:eastAsia="Times New Roman" w:cs="Tahoma"/>
          <w:bCs/>
          <w:color w:val="000000"/>
          <w:sz w:val="24"/>
          <w:szCs w:val="24"/>
          <w:lang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Dinas Perdagangan, Koperasi dan Usaha Kecil dan Menengah mendukung dan memaksimalkan pernannya terhadap pengembangan Pusat Distribusi Logistik dengan berbagai agenda :</w:t>
      </w:r>
    </w:p>
    <w:p>
      <w:pPr>
        <w:tabs>
          <w:tab w:val="left" w:pos="1418"/>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1)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Penyusunan Master Plan dan rancangan infrastruktur kawasan PDL dengan Zona Distribusi seluas 30 HA, Zona Pelayanan Peti Kemas seluas 50 HA, Zona Industri seluas 150 HA, dan Pembebasan Lahan Kawasan PDL</w:t>
      </w:r>
    </w:p>
    <w:p>
      <w:pPr>
        <w:tabs>
          <w:tab w:val="left" w:pos="1418"/>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2)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Pembangunan/peningkatan Infrastrukutr Jalan dari  Kota benteng ke kawasan ( Jalan Nasional ) melalui Pembangunan jalan dalam kawasan PDL, Zona Distribusi seluas 30 HA, Sertifikasi Operasional bagi pengelola seperti Sertifikasi Certifikat of Original Barang ( COO ), Sertifikat Manajemen Mutu Barang, Sertifikat Kwuality Control Produksi, Sertifikat Keselamatan Kerja, Sertifikat Pengawasan Industri</w:t>
      </w:r>
    </w:p>
    <w:p>
      <w:pPr>
        <w:tabs>
          <w:tab w:val="left" w:pos="1418"/>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418"/>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418"/>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3)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Pengelolaan BOT Kawasan PDL, melalui Pengelolaan  Kawasan Sub Sentra kawasan pelabuhan jampea, kayuadi, kalautoa, bonerate, benteng, Pemindahan aktifitas PT Pelindo IV MKS ke dalam Kawasan PDL, Fasilitasi kerjasama antar lembanga atau perusahaan, dan International Exhibitions</w:t>
      </w:r>
    </w:p>
    <w:p>
      <w:pPr>
        <w:tabs>
          <w:tab w:val="left" w:pos="1418"/>
        </w:tabs>
        <w:autoSpaceDE w:val="0"/>
        <w:autoSpaceDN w:val="0"/>
        <w:adjustRightInd w:val="0"/>
        <w:spacing w:after="0" w:line="360" w:lineRule="auto"/>
        <w:ind w:left="1418" w:hanging="425"/>
        <w:jc w:val="both"/>
        <w:rPr>
          <w:rFonts w:ascii="Bookman Old Style" w:hAnsi="Bookman Old Style" w:eastAsia="Times New Roman" w:cs="Tahoma"/>
          <w:bCs/>
          <w:color w:val="000000"/>
          <w:sz w:val="24"/>
          <w:szCs w:val="24"/>
          <w:lang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4) </w:t>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Percepatan menjadi Pusat Pertumbhahan Industri Nisonal ( WPP ) meliputi Pengutan Industri Hilir di kabupaten Selayar dan Percepatan pengelolaan kemandirian pengelolaan kawasan PDL</w:t>
      </w:r>
    </w:p>
    <w:p>
      <w:pPr>
        <w:numPr>
          <w:ilvl w:val="3"/>
          <w:numId w:val="118"/>
        </w:numPr>
        <w:autoSpaceDE w:val="0"/>
        <w:autoSpaceDN w:val="0"/>
        <w:adjustRightInd w:val="0"/>
        <w:spacing w:after="0" w:line="360" w:lineRule="auto"/>
        <w:ind w:left="993" w:hanging="426"/>
        <w:jc w:val="both"/>
        <w:rPr>
          <w:rFonts w:ascii="Bookman Old Style" w:hAnsi="Bookman Old Style" w:eastAsia="Times New Roman" w:cs="Tahoma"/>
          <w:bCs/>
          <w:color w:val="000000"/>
          <w:sz w:val="24"/>
          <w:szCs w:val="24"/>
          <w:lang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 xml:space="preserve">Mendukung program gerbang sari didalam pembentukan sentra kuliner, pembentukan koperasi berbasis pemberdayaan, penataan        di 5 desa yang menjadi prioritas gerbang sari, pengembangan SDM masyarakat Desa Patilereng, Desa Bahuluang, Desa appatanah, Desa Bontosunggu dan Desa Bontomarannu dalam meningkatkan kompetensi masyarakat </w:t>
      </w:r>
      <w:r>
        <w:rPr>
          <w:rFonts w:ascii="Bookman Old Style" w:hAnsi="Bookman Old Style" w:eastAsia="Times New Roman" w:cs="Tahoma"/>
          <w:color w:val="000000" w:themeColor="text1"/>
          <w:sz w:val="24"/>
          <w:szCs w:val="24"/>
          <w:lang w:val="es-ES" w:eastAsia="id-ID"/>
          <w14:textFill>
            <w14:solidFill>
              <w14:schemeClr w14:val="tx1"/>
            </w14:solidFill>
          </w14:textFill>
        </w:rPr>
        <w:t xml:space="preserve">dan pelaku usaha </w:t>
      </w:r>
      <w:r>
        <w:rPr>
          <w:rFonts w:ascii="Bookman Old Style" w:hAnsi="Bookman Old Style" w:eastAsia="Times New Roman" w:cs="Tahoma"/>
          <w:color w:val="000000" w:themeColor="text1"/>
          <w:sz w:val="24"/>
          <w:szCs w:val="24"/>
          <w:lang w:eastAsia="id-ID"/>
          <w14:textFill>
            <w14:solidFill>
              <w14:schemeClr w14:val="tx1"/>
            </w14:solidFill>
          </w14:textFill>
        </w:rPr>
        <w:t>perdagangan, pelaku  IKM dan pelaku UKM untuk mengelola produksi yang berkualitas sesuai tuntutan dan selera pasar, pembangunan jalan, infrastruktur desa, air bersih, pelayanan publik, pendidikan, perdagangan, koperasi desa, semua diarahkan ke program gerbang sari dengan mengerahkan bundes tingkat desa, sentra industri pengolahan  ikan di desa bontosunggu, sentra kelapa terpadu di desa buki, sentra pandai besi di desa bungaiya, sentra pengelolaan pisang dan sentra industripembangunan perahu rakyat di bonerate, pembangunan kios/tenan untk sentra kuliner khas selayar, pengembangan SDM Pelaku UKM, IKM dan pelaku perdagangan dengan memberikan pelatihan manajemen industri, pelatihan ekonomi kreatif, pelatihan industri berbasis pertanian (pengolahan kelapa dan turunannya), pembinaan dan pembentukan organisasi pedagang kaki lima,fasilitasi pelaku IKM, UKM dalam peningkan kualitas produksi yang mampu berdaya saing dalam pasar global.</w:t>
      </w:r>
    </w:p>
    <w:p>
      <w:pPr>
        <w:tabs>
          <w:tab w:val="left" w:pos="1418"/>
        </w:tabs>
        <w:autoSpaceDE w:val="0"/>
        <w:autoSpaceDN w:val="0"/>
        <w:adjustRightInd w:val="0"/>
        <w:spacing w:after="0" w:line="360" w:lineRule="auto"/>
        <w:ind w:left="993"/>
        <w:jc w:val="both"/>
        <w:rPr>
          <w:rFonts w:ascii="Bookman Old Style" w:hAnsi="Bookman Old Style" w:eastAsia="Times New Roman" w:cs="Tahoma"/>
          <w:bCs/>
          <w:color w:val="000000"/>
          <w:sz w:val="24"/>
          <w:szCs w:val="24"/>
          <w:lang w:eastAsia="id-ID"/>
        </w:rPr>
      </w:pPr>
    </w:p>
    <w:p>
      <w:pPr>
        <w:tabs>
          <w:tab w:val="left" w:pos="1701"/>
        </w:tabs>
        <w:spacing w:after="0" w:line="360" w:lineRule="auto"/>
        <w:ind w:left="851"/>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rPr>
          <w:rFonts w:ascii="Bookman Old Style" w:hAnsi="Bookman Old Style" w:eastAsia="Times New Roman" w:cs="Tahoma"/>
          <w:b/>
          <w:color w:val="000000" w:themeColor="text1"/>
          <w:sz w:val="24"/>
          <w:szCs w:val="24"/>
          <w14:textFill>
            <w14:solidFill>
              <w14:schemeClr w14:val="tx1"/>
            </w14:solidFill>
          </w14:textFill>
        </w:r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VI</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 xml:space="preserve">RENCANA PROGRAM DAN KEGIATAN SERTA PENDANAAN </w:t>
      </w:r>
    </w:p>
    <w:p>
      <w:pPr>
        <w:tabs>
          <w:tab w:val="left" w:pos="1080"/>
          <w:tab w:val="left" w:pos="1418"/>
          <w:tab w:val="left" w:pos="1985"/>
          <w:tab w:val="left" w:leader="dot" w:pos="8820"/>
          <w:tab w:val="right" w:pos="9214"/>
          <w:tab w:val="right" w:pos="9360"/>
        </w:tabs>
        <w:spacing w:after="0" w:line="360" w:lineRule="auto"/>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w:t>
      </w:r>
    </w:p>
    <w:p>
      <w:pPr>
        <w:numPr>
          <w:ilvl w:val="1"/>
          <w:numId w:val="59"/>
        </w:numPr>
        <w:tabs>
          <w:tab w:val="left" w:pos="567"/>
        </w:tabs>
        <w:autoSpaceDE w:val="0"/>
        <w:autoSpaceDN w:val="0"/>
        <w:adjustRightInd w:val="0"/>
        <w:spacing w:after="0" w:line="360" w:lineRule="auto"/>
        <w:ind w:left="709" w:hanging="720"/>
        <w:jc w:val="both"/>
        <w:rPr>
          <w:rFonts w:ascii="Bookman Old Style" w:hAnsi="Bookman Old Style" w:eastAsia="Times New Roman" w:cs="Tahoma"/>
          <w:b/>
          <w:color w:val="000000" w:themeColor="text1"/>
          <w:sz w:val="24"/>
          <w:szCs w:val="24"/>
          <w:lang w:eastAsia="id-ID"/>
          <w14:textFill>
            <w14:solidFill>
              <w14:schemeClr w14:val="tx1"/>
            </w14:solidFill>
          </w14:textFill>
        </w:rPr>
      </w:pPr>
      <w:r>
        <w:rPr>
          <w:rFonts w:ascii="Bookman Old Style" w:hAnsi="Bookman Old Style" w:eastAsia="Times New Roman" w:cs="Tahoma"/>
          <w:b/>
          <w:color w:val="000000" w:themeColor="text1"/>
          <w:sz w:val="24"/>
          <w:szCs w:val="24"/>
          <w:lang w:eastAsia="id-ID"/>
          <w14:textFill>
            <w14:solidFill>
              <w14:schemeClr w14:val="tx1"/>
            </w14:solidFill>
          </w14:textFill>
        </w:rPr>
        <w:t>RENCANA PROGRAM</w:t>
      </w:r>
    </w:p>
    <w:p>
      <w:pPr>
        <w:tabs>
          <w:tab w:val="left" w:pos="1418"/>
        </w:tabs>
        <w:autoSpaceDE w:val="0"/>
        <w:autoSpaceDN w:val="0"/>
        <w:adjustRightInd w:val="0"/>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Untuk mengoperasionalkan kebijakan-kebijakan tersebut perlu ditetapkan program-program dan kegiatan-kegiatan nyata sehingga kegiatan strategi yang telah ditetapkan dapat </w:t>
      </w:r>
      <w:r>
        <w:rPr>
          <w:rFonts w:ascii="Bookman Old Style" w:hAnsi="Bookman Old Style" w:eastAsia="Times New Roman" w:cs="Tahoma"/>
          <w:color w:val="000000" w:themeColor="text1"/>
          <w:sz w:val="24"/>
          <w:szCs w:val="24"/>
          <w14:textFill>
            <w14:solidFill>
              <w14:schemeClr w14:val="tx1"/>
            </w14:solidFill>
          </w14:textFill>
        </w:rPr>
        <w:t xml:space="preserve">Program adalah bentuk instrumen kebijakan yang berisi satu atau lebih kegiatan yang dilaksanakan oleh OPD, yang dikoordinasikan oleh pemerintah daerah untuk mencapai sasaran dan tujuan pembangunan daerah. Kegiatan adalah bagian dari program yang dilaksanakan oleh satu atau beberapa OPD sebagai bagian dari pencapaian sasaran terukur pada suatu program, dan terdiri dari sekumpulan tindakan pengerahan sumber daya baik yang berupa personil (sumber daya manusia), barang modal termasuk peralatan dan teknologi, dana, atau kombinasi dari beberapa atau kesemua jenis sumber daya tersebut, sebagai masukan (input) untuk menghasilkan keluaran (output) dalam bentuk barang/jasa. </w:t>
      </w:r>
    </w:p>
    <w:p>
      <w:pPr>
        <w:tabs>
          <w:tab w:val="left" w:pos="1134"/>
          <w:tab w:val="left" w:pos="1701"/>
        </w:tabs>
        <w:autoSpaceDE w:val="0"/>
        <w:autoSpaceDN w:val="0"/>
        <w:adjustRightInd w:val="0"/>
        <w:spacing w:after="0" w:line="360" w:lineRule="auto"/>
        <w:ind w:left="567"/>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Dengan mempedomani kebijakan yang telah ditetapkan.</w:t>
      </w:r>
    </w:p>
    <w:p>
      <w:pPr>
        <w:tabs>
          <w:tab w:val="left" w:pos="1418"/>
        </w:tabs>
        <w:autoSpaceDE w:val="0"/>
        <w:autoSpaceDN w:val="0"/>
        <w:adjustRightInd w:val="0"/>
        <w:spacing w:after="0" w:line="360" w:lineRule="auto"/>
        <w:ind w:left="567"/>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Berikut ini program dan kegiatan indikatif Dinas Perdagangan, Koperasi dan UKM Kabupaten Kepualaun Selayar untuk kurun waktu tahun 2021-2026 :</w:t>
      </w:r>
    </w:p>
    <w:p>
      <w:pPr>
        <w:numPr>
          <w:ilvl w:val="0"/>
          <w:numId w:val="121"/>
        </w:numPr>
        <w:tabs>
          <w:tab w:val="left" w:pos="426"/>
          <w:tab w:val="left" w:pos="993"/>
        </w:tabs>
        <w:autoSpaceDE w:val="0"/>
        <w:autoSpaceDN w:val="0"/>
        <w:adjustRightInd w:val="0"/>
        <w:spacing w:after="0" w:line="360" w:lineRule="auto"/>
        <w:ind w:left="993" w:hanging="426"/>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PROGRAM PENUNJANG URUSAN PEMERINTAHAN DAERAH KABUPATEN/KOTA</w:t>
      </w:r>
    </w:p>
    <w:p>
      <w:pPr>
        <w:numPr>
          <w:ilvl w:val="0"/>
          <w:numId w:val="122"/>
        </w:numPr>
        <w:tabs>
          <w:tab w:val="left" w:pos="426"/>
          <w:tab w:val="left" w:pos="1134"/>
        </w:tabs>
        <w:autoSpaceDE w:val="0"/>
        <w:autoSpaceDN w:val="0"/>
        <w:adjustRightInd w:val="0"/>
        <w:spacing w:after="0" w:line="360" w:lineRule="auto"/>
        <w:ind w:left="993" w:firstLine="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Perencanaan, Penganggaran dan Evaluasi Kinerja Perangkat Daerah</w:t>
      </w:r>
    </w:p>
    <w:p>
      <w:pPr>
        <w:numPr>
          <w:ilvl w:val="0"/>
          <w:numId w:val="122"/>
        </w:numPr>
        <w:tabs>
          <w:tab w:val="left" w:pos="426"/>
          <w:tab w:val="left" w:pos="1134"/>
        </w:tabs>
        <w:autoSpaceDE w:val="0"/>
        <w:autoSpaceDN w:val="0"/>
        <w:adjustRightInd w:val="0"/>
        <w:spacing w:after="0" w:line="360" w:lineRule="auto"/>
        <w:ind w:left="993" w:firstLine="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Administrasi Keuangan Perangkat Daerah</w:t>
      </w:r>
    </w:p>
    <w:p>
      <w:pPr>
        <w:numPr>
          <w:ilvl w:val="0"/>
          <w:numId w:val="122"/>
        </w:numPr>
        <w:tabs>
          <w:tab w:val="left" w:pos="426"/>
          <w:tab w:val="left" w:pos="1134"/>
        </w:tabs>
        <w:autoSpaceDE w:val="0"/>
        <w:autoSpaceDN w:val="0"/>
        <w:adjustRightInd w:val="0"/>
        <w:spacing w:after="0" w:line="360" w:lineRule="auto"/>
        <w:ind w:left="993" w:firstLine="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Administrasi Barang Milik Daerah pada Perangkat Daerah</w:t>
      </w:r>
    </w:p>
    <w:p>
      <w:pPr>
        <w:numPr>
          <w:ilvl w:val="0"/>
          <w:numId w:val="122"/>
        </w:numPr>
        <w:tabs>
          <w:tab w:val="left" w:pos="426"/>
          <w:tab w:val="left" w:pos="1134"/>
        </w:tabs>
        <w:autoSpaceDE w:val="0"/>
        <w:autoSpaceDN w:val="0"/>
        <w:adjustRightInd w:val="0"/>
        <w:spacing w:after="0" w:line="360" w:lineRule="auto"/>
        <w:ind w:left="993" w:firstLine="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Administrasi Kepegawaian Perangkat Daerah</w:t>
      </w:r>
    </w:p>
    <w:p>
      <w:pPr>
        <w:numPr>
          <w:ilvl w:val="0"/>
          <w:numId w:val="122"/>
        </w:numPr>
        <w:tabs>
          <w:tab w:val="left" w:pos="426"/>
          <w:tab w:val="left" w:pos="1134"/>
        </w:tabs>
        <w:autoSpaceDE w:val="0"/>
        <w:autoSpaceDN w:val="0"/>
        <w:adjustRightInd w:val="0"/>
        <w:spacing w:after="0" w:line="360" w:lineRule="auto"/>
        <w:ind w:left="993" w:firstLine="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Administrasi Umum Perangkat Daerah</w:t>
      </w:r>
    </w:p>
    <w:p>
      <w:pPr>
        <w:numPr>
          <w:ilvl w:val="0"/>
          <w:numId w:val="122"/>
        </w:numPr>
        <w:tabs>
          <w:tab w:val="left" w:pos="426"/>
          <w:tab w:val="left" w:pos="993"/>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Pengadaan Barang Milik Daerah Penunjang Urusan Pemerintah Daerah</w:t>
      </w:r>
    </w:p>
    <w:p>
      <w:pPr>
        <w:numPr>
          <w:ilvl w:val="0"/>
          <w:numId w:val="122"/>
        </w:numPr>
        <w:tabs>
          <w:tab w:val="left" w:pos="426"/>
          <w:tab w:val="left" w:pos="993"/>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Penyediaan Jasa Penunjang Urusan Pemerintahan Daerah</w:t>
      </w:r>
    </w:p>
    <w:p>
      <w:pPr>
        <w:numPr>
          <w:ilvl w:val="0"/>
          <w:numId w:val="122"/>
        </w:numPr>
        <w:tabs>
          <w:tab w:val="left" w:pos="426"/>
          <w:tab w:val="left" w:pos="993"/>
        </w:tabs>
        <w:autoSpaceDE w:val="0"/>
        <w:autoSpaceDN w:val="0"/>
        <w:adjustRightInd w:val="0"/>
        <w:spacing w:after="0" w:line="360" w:lineRule="auto"/>
        <w:ind w:left="1418" w:hanging="425"/>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Pemeliharaan Barang Milik Daerah Penunjang Urusan Pemerintahan Daerah</w:t>
      </w:r>
    </w:p>
    <w:p>
      <w:pPr>
        <w:tabs>
          <w:tab w:val="left" w:pos="426"/>
          <w:tab w:val="left" w:pos="993"/>
        </w:tabs>
        <w:autoSpaceDE w:val="0"/>
        <w:autoSpaceDN w:val="0"/>
        <w:adjustRightInd w:val="0"/>
        <w:spacing w:after="0" w:line="360" w:lineRule="auto"/>
        <w:ind w:left="1418"/>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426"/>
          <w:tab w:val="left" w:pos="993"/>
        </w:tabs>
        <w:autoSpaceDE w:val="0"/>
        <w:autoSpaceDN w:val="0"/>
        <w:adjustRightInd w:val="0"/>
        <w:spacing w:after="0" w:line="360" w:lineRule="auto"/>
        <w:ind w:left="1418"/>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426"/>
          <w:tab w:val="left" w:pos="993"/>
        </w:tabs>
        <w:autoSpaceDE w:val="0"/>
        <w:autoSpaceDN w:val="0"/>
        <w:adjustRightInd w:val="0"/>
        <w:spacing w:after="0" w:line="360" w:lineRule="auto"/>
        <w:ind w:left="1418"/>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426"/>
          <w:tab w:val="left" w:pos="993"/>
        </w:tabs>
        <w:autoSpaceDE w:val="0"/>
        <w:autoSpaceDN w:val="0"/>
        <w:adjustRightInd w:val="0"/>
        <w:spacing w:after="0" w:line="360" w:lineRule="auto"/>
        <w:ind w:left="1418"/>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numPr>
          <w:ilvl w:val="0"/>
          <w:numId w:val="121"/>
        </w:numPr>
        <w:tabs>
          <w:tab w:val="left" w:pos="426"/>
          <w:tab w:val="left" w:pos="993"/>
        </w:tabs>
        <w:autoSpaceDE w:val="0"/>
        <w:autoSpaceDN w:val="0"/>
        <w:adjustRightInd w:val="0"/>
        <w:spacing w:after="0" w:line="360" w:lineRule="auto"/>
        <w:ind w:left="993" w:hanging="426"/>
        <w:jc w:val="both"/>
        <w:rPr>
          <w:rFonts w:ascii="Bookman Old Style" w:hAnsi="Bookman Old Style" w:eastAsia="Times New Roman" w:cs="Tahoma"/>
          <w:bCs/>
          <w:color w:val="000000" w:themeColor="text1"/>
          <w:sz w:val="24"/>
          <w:szCs w:val="24"/>
          <w:lang w:eastAsia="id-ID"/>
          <w14:textFill>
            <w14:solidFill>
              <w14:schemeClr w14:val="tx1"/>
            </w14:solidFill>
          </w14:textFill>
        </w:rPr>
      </w:pPr>
      <w:r>
        <w:rPr>
          <w:rFonts w:ascii="Bookman Old Style" w:hAnsi="Bookman Old Style" w:eastAsia="Times New Roman" w:cs="Tahoma"/>
          <w:bCs/>
          <w:color w:val="000000" w:themeColor="text1"/>
          <w:kern w:val="24"/>
          <w:sz w:val="24"/>
          <w:szCs w:val="24"/>
          <w:lang w:eastAsia="id-ID"/>
          <w14:textFill>
            <w14:solidFill>
              <w14:schemeClr w14:val="tx1"/>
            </w14:solidFill>
          </w14:textFill>
        </w:rPr>
        <w:t>PROGRAM PELAYANAN IZIN USAHA SIMPAN PINJAM</w:t>
      </w:r>
    </w:p>
    <w:p>
      <w:pPr>
        <w:numPr>
          <w:ilvl w:val="0"/>
          <w:numId w:val="123"/>
        </w:numPr>
        <w:tabs>
          <w:tab w:val="left" w:pos="1080"/>
        </w:tabs>
        <w:autoSpaceDE w:val="0"/>
        <w:autoSpaceDN w:val="0"/>
        <w:adjustRightInd w:val="0"/>
        <w:spacing w:after="0" w:line="360" w:lineRule="auto"/>
        <w:ind w:left="1418" w:hanging="425"/>
        <w:jc w:val="both"/>
        <w:rPr>
          <w:rFonts w:ascii="Bookman Old Style" w:hAnsi="Bookman Old Style" w:eastAsia="Times New Roman" w:cs="Tahoma"/>
          <w:color w:val="000000" w:themeColor="text1"/>
          <w:kern w:val="24"/>
          <w:sz w:val="24"/>
          <w:szCs w:val="24"/>
          <w:lang w:eastAsia="id-ID"/>
          <w14:textFill>
            <w14:solidFill>
              <w14:schemeClr w14:val="tx1"/>
            </w14:solidFill>
          </w14:textFill>
        </w:rPr>
      </w:pPr>
      <w:r>
        <w:rPr>
          <w:rFonts w:ascii="Bookman Old Style" w:hAnsi="Bookman Old Style" w:eastAsia="Times New Roman" w:cs="Tahoma"/>
          <w:color w:val="000000" w:themeColor="text1"/>
          <w:kern w:val="24"/>
          <w:sz w:val="24"/>
          <w:szCs w:val="24"/>
          <w:lang w:eastAsia="id-ID"/>
          <w14:textFill>
            <w14:solidFill>
              <w14:schemeClr w14:val="tx1"/>
            </w14:solidFill>
          </w14:textFill>
        </w:rPr>
        <w:t>Penerbitan Izin Usaha Simpan Pinjam untuk Koperasi dengan Wilayah Keanggotaan dalam Daerah Kabupaten/Kota.</w:t>
      </w:r>
    </w:p>
    <w:p>
      <w:pPr>
        <w:numPr>
          <w:ilvl w:val="0"/>
          <w:numId w:val="123"/>
        </w:numPr>
        <w:tabs>
          <w:tab w:val="left" w:pos="1080"/>
        </w:tabs>
        <w:autoSpaceDE w:val="0"/>
        <w:autoSpaceDN w:val="0"/>
        <w:adjustRightInd w:val="0"/>
        <w:spacing w:after="0" w:line="360" w:lineRule="auto"/>
        <w:ind w:left="1418" w:hanging="425"/>
        <w:jc w:val="both"/>
        <w:rPr>
          <w:rFonts w:ascii="Bookman Old Style" w:hAnsi="Bookman Old Style" w:eastAsia="Times New Roman" w:cs="Tahoma"/>
          <w:color w:val="000000" w:themeColor="text1"/>
          <w:kern w:val="24"/>
          <w:sz w:val="24"/>
          <w:szCs w:val="24"/>
          <w:lang w:eastAsia="id-ID"/>
          <w14:textFill>
            <w14:solidFill>
              <w14:schemeClr w14:val="tx1"/>
            </w14:solidFill>
          </w14:textFill>
        </w:rPr>
      </w:pPr>
      <w:r>
        <w:rPr>
          <w:rFonts w:ascii="Bookman Old Style" w:hAnsi="Bookman Old Style" w:eastAsia="Times New Roman" w:cs="Tahoma"/>
          <w:color w:val="000000" w:themeColor="text1"/>
          <w:kern w:val="24"/>
          <w:sz w:val="24"/>
          <w:szCs w:val="24"/>
          <w:lang w:eastAsia="id-ID"/>
          <w14:textFill>
            <w14:solidFill>
              <w14:schemeClr w14:val="tx1"/>
            </w14:solidFill>
          </w14:textFill>
        </w:rPr>
        <w:t>Fasilitasi Pemenuhan Izin Usaha Simpan Pinjam dan Pembukaan Kantor Cabang, Cabang Pembantu dan Kantor Kas Koperasi Simpan Pinjam untuk  Koperasi dengan Wilayah Keanggotaan dalam Daerah Kabupaten/Kota.</w:t>
      </w:r>
    </w:p>
    <w:p>
      <w:pPr>
        <w:numPr>
          <w:ilvl w:val="0"/>
          <w:numId w:val="123"/>
        </w:numPr>
        <w:tabs>
          <w:tab w:val="left" w:pos="1080"/>
        </w:tabs>
        <w:autoSpaceDE w:val="0"/>
        <w:autoSpaceDN w:val="0"/>
        <w:adjustRightInd w:val="0"/>
        <w:spacing w:after="0" w:line="360" w:lineRule="auto"/>
        <w:ind w:left="1418" w:hanging="425"/>
        <w:jc w:val="both"/>
        <w:rPr>
          <w:rFonts w:ascii="Bookman Old Style" w:hAnsi="Bookman Old Style" w:eastAsia="Times New Roman" w:cs="Tahoma"/>
          <w:color w:val="000000" w:themeColor="text1"/>
          <w:kern w:val="24"/>
          <w:sz w:val="24"/>
          <w:szCs w:val="24"/>
          <w:lang w:eastAsia="id-ID"/>
          <w14:textFill>
            <w14:solidFill>
              <w14:schemeClr w14:val="tx1"/>
            </w14:solidFill>
          </w14:textFill>
        </w:rPr>
      </w:pPr>
      <w:r>
        <w:rPr>
          <w:rFonts w:ascii="Bookman Old Style" w:hAnsi="Bookman Old Style" w:eastAsia="Times New Roman" w:cs="Tahoma"/>
          <w:color w:val="000000" w:themeColor="text1"/>
          <w:kern w:val="24"/>
          <w:sz w:val="24"/>
          <w:szCs w:val="24"/>
          <w:lang w:eastAsia="id-ID"/>
          <w14:textFill>
            <w14:solidFill>
              <w14:schemeClr w14:val="tx1"/>
            </w14:solidFill>
          </w14:textFill>
        </w:rPr>
        <w:t>Penerbitan Izin Pembukaan Kantor Cabang, Cabang Pembantu dan Kantor Kas Koperasi Simpan Pinjam untuk Koperasi dengan Wilayah Keanggotaan dalam Daerah Kabupaten/Kota.</w:t>
      </w:r>
    </w:p>
    <w:p>
      <w:pPr>
        <w:numPr>
          <w:ilvl w:val="0"/>
          <w:numId w:val="123"/>
        </w:numPr>
        <w:tabs>
          <w:tab w:val="left" w:pos="1080"/>
        </w:tabs>
        <w:autoSpaceDE w:val="0"/>
        <w:autoSpaceDN w:val="0"/>
        <w:adjustRightInd w:val="0"/>
        <w:spacing w:after="0" w:line="360" w:lineRule="auto"/>
        <w:ind w:left="1418" w:hanging="425"/>
        <w:jc w:val="both"/>
        <w:rPr>
          <w:rFonts w:ascii="Bookman Old Style" w:hAnsi="Bookman Old Style" w:eastAsia="Times New Roman" w:cs="Tahoma"/>
          <w:color w:val="000000" w:themeColor="text1"/>
          <w:kern w:val="24"/>
          <w:sz w:val="24"/>
          <w:szCs w:val="24"/>
          <w:lang w:eastAsia="id-ID"/>
          <w14:textFill>
            <w14:solidFill>
              <w14:schemeClr w14:val="tx1"/>
            </w14:solidFill>
          </w14:textFill>
        </w:rPr>
      </w:pPr>
      <w:r>
        <w:rPr>
          <w:rFonts w:ascii="Bookman Old Style" w:hAnsi="Bookman Old Style" w:eastAsia="Times New Roman" w:cs="Tahoma"/>
          <w:color w:val="000000" w:themeColor="text1"/>
          <w:kern w:val="24"/>
          <w:sz w:val="24"/>
          <w:szCs w:val="24"/>
          <w:lang w:eastAsia="id-ID"/>
          <w14:textFill>
            <w14:solidFill>
              <w14:schemeClr w14:val="tx1"/>
            </w14:solidFill>
          </w14:textFill>
        </w:rPr>
        <w:t>Fasilitasi Pemenuhan Izin Usaha Pembukaan Kantor Cabang, Cabang Pembantu dan Kantor Kas Koperasi Simpan Pinjam untuk Koperasi dengan Wilayah Keanggotaan dalam Daerah Kabupaten/Kota.</w:t>
      </w:r>
    </w:p>
    <w:p>
      <w:pPr>
        <w:numPr>
          <w:ilvl w:val="0"/>
          <w:numId w:val="121"/>
        </w:numPr>
        <w:tabs>
          <w:tab w:val="left" w:pos="993"/>
        </w:tabs>
        <w:autoSpaceDE w:val="0"/>
        <w:autoSpaceDN w:val="0"/>
        <w:adjustRightInd w:val="0"/>
        <w:spacing w:after="0" w:line="360" w:lineRule="auto"/>
        <w:ind w:left="993" w:hanging="420"/>
        <w:jc w:val="both"/>
        <w:rPr>
          <w:rFonts w:ascii="Bookman Old Style" w:hAnsi="Bookman Old Style" w:eastAsia="Times New Roman" w:cs="Tahoma"/>
          <w:color w:val="000000" w:themeColor="text1"/>
          <w:kern w:val="24"/>
          <w:sz w:val="24"/>
          <w:szCs w:val="24"/>
          <w:lang w:eastAsia="id-ID"/>
          <w14:textFill>
            <w14:solidFill>
              <w14:schemeClr w14:val="tx1"/>
            </w14:solidFill>
          </w14:textFill>
        </w:rPr>
      </w:pPr>
      <w:r>
        <w:rPr>
          <w:rFonts w:ascii="Bookman Old Style" w:hAnsi="Bookman Old Style" w:eastAsia="Times New Roman" w:cs="Tahoma"/>
          <w:bCs/>
          <w:color w:val="000000" w:themeColor="text1"/>
          <w:kern w:val="24"/>
          <w:sz w:val="24"/>
          <w:szCs w:val="24"/>
          <w:lang w:eastAsia="id-ID"/>
          <w14:textFill>
            <w14:solidFill>
              <w14:schemeClr w14:val="tx1"/>
            </w14:solidFill>
          </w14:textFill>
        </w:rPr>
        <w:t>PROGRAM PENGAWASAN DAN PEMERIKSAAN KOPERAS</w:t>
      </w:r>
      <w:r>
        <w:rPr>
          <w:rFonts w:ascii="Bookman Old Style" w:hAnsi="Bookman Old Style" w:eastAsia="Times New Roman" w:cs="Tahoma"/>
          <w:color w:val="000000" w:themeColor="text1"/>
          <w:kern w:val="24"/>
          <w:sz w:val="24"/>
          <w:szCs w:val="24"/>
          <w:lang w:eastAsia="id-ID"/>
          <w14:textFill>
            <w14:solidFill>
              <w14:schemeClr w14:val="tx1"/>
            </w14:solidFill>
          </w14:textFill>
        </w:rPr>
        <w:t>I</w:t>
      </w:r>
    </w:p>
    <w:p>
      <w:pPr>
        <w:numPr>
          <w:ilvl w:val="0"/>
          <w:numId w:val="124"/>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Pemeriksaan dan Pengawasan Koperasi, Koperasi Simpan Pinjam/Unit Simpan Pinjam Koperasi yang Wilayah Keanggotaannya dalam Daerah Kabupaten/Kota.</w:t>
      </w:r>
    </w:p>
    <w:p>
      <w:pPr>
        <w:numPr>
          <w:ilvl w:val="0"/>
          <w:numId w:val="124"/>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Pengawasan Kekuatan, Kesehatan, Kemandirian, Ketangguhan, serta Akuntabilitas Koperasi Kewenangan Kabupaten/Kota.</w:t>
      </w:r>
    </w:p>
    <w:p>
      <w:pPr>
        <w:numPr>
          <w:ilvl w:val="0"/>
          <w:numId w:val="124"/>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Pemeriksaan Kepatuhan Koperasi terhadap Peraturan Perundang-Undangan Kewenangan Kabupaten/Kota.</w:t>
      </w:r>
    </w:p>
    <w:p>
      <w:pPr>
        <w:numPr>
          <w:ilvl w:val="0"/>
          <w:numId w:val="121"/>
        </w:numPr>
        <w:tabs>
          <w:tab w:val="left" w:pos="573"/>
        </w:tabs>
        <w:spacing w:after="0" w:line="360" w:lineRule="auto"/>
        <w:ind w:left="993"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kern w:val="24"/>
          <w:sz w:val="24"/>
          <w:szCs w:val="24"/>
          <w14:textFill>
            <w14:solidFill>
              <w14:schemeClr w14:val="tx1"/>
            </w14:solidFill>
          </w14:textFill>
        </w:rPr>
        <w:t>PROGRAM PENILAIAN KESEHATAN KSP/USP KOPERASI</w:t>
      </w:r>
    </w:p>
    <w:p>
      <w:pPr>
        <w:numPr>
          <w:ilvl w:val="0"/>
          <w:numId w:val="125"/>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Penilaian Kesehatan Koperasi Simpan Pinjam/Unit Simpan Pinjam Koperasi yang Wilayah Keanggotaanya dalam 1 (satu) Daerah Kabupaten/Kota.</w:t>
      </w:r>
    </w:p>
    <w:p>
      <w:pPr>
        <w:numPr>
          <w:ilvl w:val="0"/>
          <w:numId w:val="125"/>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fi-FI"/>
          <w14:textFill>
            <w14:solidFill>
              <w14:schemeClr w14:val="tx1"/>
            </w14:solidFill>
          </w14:textFill>
        </w:rPr>
        <w:t>Pelaksanaan Penilaian Kesehatan KSP/USP Koperasi Kewenangan Kabupaten/Kota.</w:t>
      </w:r>
    </w:p>
    <w:p>
      <w:pPr>
        <w:numPr>
          <w:ilvl w:val="0"/>
          <w:numId w:val="125"/>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Penghargaan Kesehatan KSP/USP Koperasi Kewenangan Kabupaten/Kota.</w:t>
      </w:r>
    </w:p>
    <w:p>
      <w:pPr>
        <w:numPr>
          <w:ilvl w:val="0"/>
          <w:numId w:val="121"/>
        </w:numPr>
        <w:spacing w:after="0" w:line="360" w:lineRule="auto"/>
        <w:ind w:left="993" w:hanging="426"/>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kern w:val="24"/>
          <w:sz w:val="24"/>
          <w:szCs w:val="24"/>
          <w14:textFill>
            <w14:solidFill>
              <w14:schemeClr w14:val="tx1"/>
            </w14:solidFill>
          </w14:textFill>
        </w:rPr>
        <w:t>PROGRAM PENDIDIKAN DAN LATIHAN PERKOPERASIAN</w:t>
      </w:r>
    </w:p>
    <w:p>
      <w:pPr>
        <w:numPr>
          <w:ilvl w:val="0"/>
          <w:numId w:val="126"/>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Pendidikan dan Latihan Perkoperasian Bagi Koperasi yang Wilayah Keanggotaan dalam Daerah Kabupaten/Kota</w:t>
      </w:r>
    </w:p>
    <w:p>
      <w:pPr>
        <w:numPr>
          <w:ilvl w:val="0"/>
          <w:numId w:val="126"/>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Peningkatan Pemahaman dan Pengetahuan Perkoperasian serta Kapasitas dan Kompetensi SDM Koperasi.</w:t>
      </w: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numPr>
          <w:ilvl w:val="0"/>
          <w:numId w:val="121"/>
        </w:numPr>
        <w:spacing w:after="0" w:line="360" w:lineRule="auto"/>
        <w:ind w:left="993"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PROGRAM PEMBERDAYAAN DAN PERLINDUNGAN KOPERASI</w:t>
      </w:r>
    </w:p>
    <w:p>
      <w:pPr>
        <w:numPr>
          <w:ilvl w:val="0"/>
          <w:numId w:val="127"/>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Pemberdayaan dan Perlindungan Koperasi yang Keanggotaannya dalam Daerah Kabupaten/Kota.</w:t>
      </w:r>
    </w:p>
    <w:p>
      <w:pPr>
        <w:numPr>
          <w:ilvl w:val="0"/>
          <w:numId w:val="127"/>
        </w:numPr>
        <w:spacing w:after="0" w:line="360" w:lineRule="auto"/>
        <w:ind w:left="1418"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Pemberdayaan Peningkatan Produktivitas, Nilai Tambah, Akses Pasar, Akses Pembiayaan, Penguatan Kelembagaan, Penataan Manajemen, Standarisasi, dan Restrukturisasi Usaha Koperasi Kewenangan Kabupaten/Kota.</w:t>
      </w:r>
    </w:p>
    <w:p>
      <w:pPr>
        <w:numPr>
          <w:ilvl w:val="0"/>
          <w:numId w:val="121"/>
        </w:numPr>
        <w:spacing w:after="0" w:line="360" w:lineRule="auto"/>
        <w:ind w:left="851"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PROGRAM PEMBERDAYAAN USAHA MENENGAH, USAHA KECIL, DAN USAHA MIKRO (UMKM)</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Pemberdayaan Usaha Mikro yang Dilakukan melalui Pendataan, Kemitraan, Kemudahan Perizinan, Penguatan Kelembagaan dan Koordinasi dengan Para Pemangku Kepentingan</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Pendataan Potensi dan Pengembangan Usaha Mikro</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Pemberdayaan melalui Kemitraan Usaha Mikro</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Fasilitasi Kemudahan Perizinan Usaha Mikro</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Pemberdayaan Kelembagaan Potensi dan Pengembangan Usaha Mikro</w:t>
      </w:r>
    </w:p>
    <w:p>
      <w:pPr>
        <w:numPr>
          <w:ilvl w:val="0"/>
          <w:numId w:val="128"/>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Koordinasi dan Sinkronisasi dengan Para Pemangku Kepentingan dalam Pemberdayaan Usaha Mikro</w:t>
      </w:r>
    </w:p>
    <w:p>
      <w:pPr>
        <w:numPr>
          <w:ilvl w:val="0"/>
          <w:numId w:val="121"/>
        </w:numPr>
        <w:spacing w:after="0" w:line="360" w:lineRule="auto"/>
        <w:ind w:left="851"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PROGRAM PENGEMBANGAN UMKM</w:t>
      </w:r>
    </w:p>
    <w:p>
      <w:pPr>
        <w:numPr>
          <w:ilvl w:val="0"/>
          <w:numId w:val="129"/>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Pengembangan Usaha Mikro dengan Orientasi Peningkatan Skala Usaha Menjadi Usaha Kecil</w:t>
      </w:r>
    </w:p>
    <w:p>
      <w:pPr>
        <w:numPr>
          <w:ilvl w:val="0"/>
          <w:numId w:val="129"/>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Fasilitasi Usaha Mikro Menjadi Usaha Kecil dalam Pengembangan Produksi dan Pengolahan, Pemasaran, SDM, serta Desain dan Teknologi</w:t>
      </w:r>
    </w:p>
    <w:p>
      <w:pPr>
        <w:numPr>
          <w:ilvl w:val="0"/>
          <w:numId w:val="121"/>
        </w:numPr>
        <w:spacing w:after="0" w:line="360" w:lineRule="auto"/>
        <w:ind w:left="851"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PROGRAM PERIZINAN DAN PENDAFTARAN PERUSAHAAN</w:t>
      </w: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Penerbitan Izin Pengelolaan Pasar Rakyat, Pusat Perbelanjaan, dan Izin Usaha Toko Swalayan</w:t>
      </w: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Fasilitasi Pemenuhan Komitmen Perolehan Perizinan Pasar Rakyat, Pusat Perbelanjaan, dan Toko Swalayan melalui Sistem Pelayanan Perizinan Berusaha Terintegrasi Secara Elektronik</w:t>
      </w: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Penerbitan Tanda Daftar Gudang</w:t>
      </w: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Fasilitasi Penerbitan Tanda Daftar Gudang</w:t>
      </w: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 xml:space="preserve">Pengendalian Fasilitas Penyimpanan Bahan Berbahaya dan Pengawasan Distribusi, Pengemasan dan Pelabelan Bahan Berbahaya di Tingkat Daerah Kabupaten/Kota </w:t>
      </w: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numPr>
          <w:ilvl w:val="0"/>
          <w:numId w:val="130"/>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Pemeriksaan Penyimpanan Makanan Berbahaya</w:t>
      </w:r>
    </w:p>
    <w:p>
      <w:pPr>
        <w:numPr>
          <w:ilvl w:val="0"/>
          <w:numId w:val="121"/>
        </w:numPr>
        <w:spacing w:after="0" w:line="360" w:lineRule="auto"/>
        <w:ind w:left="851"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PROGRAM PENINGKATAN SARANA DISTRIBUSI PERDAGANGAN</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Pembangunan dan Pengelolaan Sarana Distribusi Perdagangan</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it-IT"/>
          <w14:textFill>
            <w14:solidFill>
              <w14:schemeClr w14:val="tx1"/>
            </w14:solidFill>
          </w14:textFill>
        </w:rPr>
        <w:t>Penyediaan Sarana Distribusi Perdagangan</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it-IT"/>
          <w14:textFill>
            <w14:solidFill>
              <w14:schemeClr w14:val="tx1"/>
            </w14:solidFill>
          </w14:textFill>
        </w:rPr>
        <w:t>Fasilitasi Pengelolaan Sarana Distribusi Perdagangan</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Pembinaan Terhadap Pengelola Sarana Distribusi Perdagangan Masyarakat di Wilayah Kerjanya</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Pembinaan dan Pengendalian Pengelola Sarana Distribusi Perdagangan</w:t>
      </w:r>
    </w:p>
    <w:p>
      <w:pPr>
        <w:numPr>
          <w:ilvl w:val="0"/>
          <w:numId w:val="131"/>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it-IT"/>
          <w14:textFill>
            <w14:solidFill>
              <w14:schemeClr w14:val="tx1"/>
            </w14:solidFill>
          </w14:textFill>
        </w:rPr>
        <w:t>Pemberdayaan Pengelola Sarana Distribusi Perdagangan</w:t>
      </w:r>
    </w:p>
    <w:p>
      <w:pPr>
        <w:numPr>
          <w:ilvl w:val="0"/>
          <w:numId w:val="121"/>
        </w:numPr>
        <w:spacing w:after="0" w:line="360" w:lineRule="auto"/>
        <w:ind w:left="851" w:hanging="42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sv-SE"/>
          <w14:textFill>
            <w14:solidFill>
              <w14:schemeClr w14:val="tx1"/>
            </w14:solidFill>
          </w14:textFill>
        </w:rPr>
        <w:t>PROGRAM STABILISASI HARGA BARANG KEBUTUHAN POKOK DAN BARANG PENTING</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Menjamin Ketersediaan Barang Kebutuhan Pokok dan Barang Penting di Tingkat Daerah Kabupaten/Kota</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Koordinasi dan Sinkronisasi Ketersediaan Barang Kebutuhan Pokok dan Barang Penting di Tingkat Agen dan Pasar Rakyat</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Koordinasi dan Sinkronisasi Peningkatan Aksesibilitas Barang Kebutuhan Pokok dan Barang Penting di Tingkat Agen dan Pasar Rakyat</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Pengendalian Harga, dan Stok Barang Kebutuhan Pokok dan Barang Penting di Tingkat Pasar Kabupaten/Kota</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Pemantauan Harga dan Stok Barang Kebutuhan Pokok dan Barang Penting pada Pelaku Usaha Distribusi Barang dalam 1 (satu) Kabupaten/Kota</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Pemantauan Harga dan Stok Barang Kebutuhan Pokok dan Barang Penting pada Pasar Rakyat yang Terintegrasi dalam Sistem Informasi Perdagangan</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Pelaksanaan Operasi Pasar Reguler dan Pasar Khusus yang Berdampak dalam 1 (satu) Kabupaten/Kota</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nn-NO"/>
          <w14:textFill>
            <w14:solidFill>
              <w14:schemeClr w14:val="tx1"/>
            </w14:solidFill>
          </w14:textFill>
        </w:rPr>
        <w:t>Pengawasan Pupuk dan Pestisida Bersubsidi di Tingkat Daerah Kabupaten/Kota</w:t>
      </w:r>
    </w:p>
    <w:p>
      <w:pPr>
        <w:numPr>
          <w:ilvl w:val="0"/>
          <w:numId w:val="132"/>
        </w:numPr>
        <w:spacing w:after="0" w:line="360" w:lineRule="auto"/>
        <w:ind w:left="1276" w:hanging="425"/>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Pemeriksaan Kelengkapan Legalitas Dokumen Perizinan</w:t>
      </w:r>
    </w:p>
    <w:p>
      <w:pPr>
        <w:numPr>
          <w:ilvl w:val="0"/>
          <w:numId w:val="121"/>
        </w:numPr>
        <w:spacing w:after="0" w:line="360" w:lineRule="auto"/>
        <w:ind w:left="851" w:hanging="426"/>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kern w:val="24"/>
          <w:sz w:val="24"/>
          <w:szCs w:val="24"/>
          <w14:textFill>
            <w14:solidFill>
              <w14:schemeClr w14:val="tx1"/>
            </w14:solidFill>
          </w14:textFill>
        </w:rPr>
        <w:t>PROGRAM PENGEMBANGAN EKSPOR</w:t>
      </w:r>
    </w:p>
    <w:p>
      <w:pPr>
        <w:numPr>
          <w:ilvl w:val="0"/>
          <w:numId w:val="133"/>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Penyelenggaraan Promosi Dagang melalui Pameran Dagang dan Misi Dagang bagi Produk Ekspor Unggulan yang terdapat pada 1 (satu) Daerah Kabupaten/Kota</w:t>
      </w: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360" w:lineRule="auto"/>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numPr>
          <w:ilvl w:val="0"/>
          <w:numId w:val="133"/>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Pameran Dagang Nasional</w:t>
      </w:r>
    </w:p>
    <w:p>
      <w:pPr>
        <w:numPr>
          <w:ilvl w:val="0"/>
          <w:numId w:val="133"/>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Pameran Dagang Lokal</w:t>
      </w:r>
    </w:p>
    <w:p>
      <w:pPr>
        <w:numPr>
          <w:ilvl w:val="0"/>
          <w:numId w:val="133"/>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Misi Dagang Bagi Produk Ekspor Unggulan</w:t>
      </w:r>
    </w:p>
    <w:p>
      <w:pPr>
        <w:numPr>
          <w:ilvl w:val="0"/>
          <w:numId w:val="133"/>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nn-NO"/>
          <w14:textFill>
            <w14:solidFill>
              <w14:schemeClr w14:val="tx1"/>
            </w14:solidFill>
          </w14:textFill>
        </w:rPr>
        <w:t>Peningkatan Citra Produk Ekspor</w:t>
      </w:r>
    </w:p>
    <w:p>
      <w:pPr>
        <w:numPr>
          <w:ilvl w:val="0"/>
          <w:numId w:val="121"/>
        </w:numPr>
        <w:spacing w:after="0" w:line="360" w:lineRule="auto"/>
        <w:ind w:left="851" w:hanging="426"/>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kern w:val="24"/>
          <w:sz w:val="24"/>
          <w:szCs w:val="24"/>
          <w:lang w:val="sv-SE"/>
          <w14:textFill>
            <w14:solidFill>
              <w14:schemeClr w14:val="tx1"/>
            </w14:solidFill>
          </w14:textFill>
        </w:rPr>
        <w:t>PROGRAM STANDARDISASI DAN PERLINDUNGAN KONSUMEN</w:t>
      </w:r>
    </w:p>
    <w:p>
      <w:pPr>
        <w:numPr>
          <w:ilvl w:val="0"/>
          <w:numId w:val="134"/>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Pelaksanaan Metrologi Legal, Berupa Tera, Tera Ulang, dan Pengawasan</w:t>
      </w:r>
    </w:p>
    <w:p>
      <w:pPr>
        <w:numPr>
          <w:ilvl w:val="0"/>
          <w:numId w:val="134"/>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lang w:val="it-IT"/>
          <w14:textFill>
            <w14:solidFill>
              <w14:schemeClr w14:val="tx1"/>
            </w14:solidFill>
          </w14:textFill>
        </w:rPr>
        <w:t>Pelaksanaan Metrologi Legal, Berupa Tera, Tera Ulang</w:t>
      </w:r>
    </w:p>
    <w:p>
      <w:pPr>
        <w:numPr>
          <w:ilvl w:val="0"/>
          <w:numId w:val="134"/>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Pengawasan/Penyuluhan Metrologi Legal</w:t>
      </w:r>
    </w:p>
    <w:p>
      <w:pPr>
        <w:numPr>
          <w:ilvl w:val="0"/>
          <w:numId w:val="134"/>
        </w:numPr>
        <w:spacing w:after="0" w:line="360" w:lineRule="auto"/>
        <w:ind w:left="1134"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Penyidikan Metrologi Legal</w:t>
      </w:r>
    </w:p>
    <w:p>
      <w:pPr>
        <w:numPr>
          <w:ilvl w:val="0"/>
          <w:numId w:val="121"/>
        </w:numPr>
        <w:spacing w:after="0" w:line="360" w:lineRule="auto"/>
        <w:ind w:left="851" w:hanging="426"/>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bCs/>
          <w:color w:val="000000" w:themeColor="text1"/>
          <w:kern w:val="24"/>
          <w:sz w:val="24"/>
          <w:szCs w:val="24"/>
          <w:lang w:val="nl-NL"/>
          <w14:textFill>
            <w14:solidFill>
              <w14:schemeClr w14:val="tx1"/>
            </w14:solidFill>
          </w14:textFill>
        </w:rPr>
        <w:t>PROGRAM PENGGUNAAN DAN PEMASARAN PRODUK DALAM NEGERI</w:t>
      </w:r>
    </w:p>
    <w:p>
      <w:pPr>
        <w:numPr>
          <w:ilvl w:val="0"/>
          <w:numId w:val="135"/>
        </w:numPr>
        <w:spacing w:after="0" w:line="360" w:lineRule="auto"/>
        <w:ind w:left="1276"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Pelaksanaan Promosi, Pemasaran dan Peningkatan Penggunaan Produk Dalam Negeri</w:t>
      </w:r>
    </w:p>
    <w:p>
      <w:pPr>
        <w:numPr>
          <w:ilvl w:val="0"/>
          <w:numId w:val="135"/>
        </w:numPr>
        <w:spacing w:after="0" w:line="360" w:lineRule="auto"/>
        <w:ind w:left="1276"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Pelaksanaan Promosi Penggunaan Produk Dalam Negeri di Tingkat Kabupaten/Kota</w:t>
      </w:r>
    </w:p>
    <w:p>
      <w:pPr>
        <w:numPr>
          <w:ilvl w:val="0"/>
          <w:numId w:val="135"/>
        </w:numPr>
        <w:spacing w:after="0" w:line="360" w:lineRule="auto"/>
        <w:ind w:left="1276"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Pemasaran dan Peningkatan Penggunaan Produk Dalam Negeri                di Tingkat Kabupaten/Kota</w:t>
      </w:r>
    </w:p>
    <w:p>
      <w:pPr>
        <w:numPr>
          <w:ilvl w:val="0"/>
          <w:numId w:val="135"/>
        </w:numPr>
        <w:spacing w:after="0" w:line="360" w:lineRule="auto"/>
        <w:ind w:left="1276" w:hanging="360"/>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kern w:val="24"/>
          <w:sz w:val="24"/>
          <w:szCs w:val="24"/>
          <w14:textFill>
            <w14:solidFill>
              <w14:schemeClr w14:val="tx1"/>
            </w14:solidFill>
          </w14:textFill>
        </w:rPr>
        <w:t>Peningkatan Sistem dan Jaringan Informasi Perdagangan</w:t>
      </w:r>
    </w:p>
    <w:p>
      <w:pPr>
        <w:spacing w:after="0" w:line="360" w:lineRule="auto"/>
        <w:ind w:left="1276"/>
        <w:contextualSpacing/>
        <w:jc w:val="both"/>
        <w:textAlignment w:val="center"/>
        <w:rPr>
          <w:rFonts w:ascii="Bookman Old Style" w:hAnsi="Bookman Old Style" w:eastAsia="Times New Roman" w:cs="Tahoma"/>
          <w:color w:val="000000" w:themeColor="text1"/>
          <w:sz w:val="24"/>
          <w:szCs w:val="24"/>
          <w14:textFill>
            <w14:solidFill>
              <w14:schemeClr w14:val="tx1"/>
            </w14:solidFill>
          </w14:textFill>
        </w:rPr>
      </w:pPr>
    </w:p>
    <w:p>
      <w:pPr>
        <w:numPr>
          <w:ilvl w:val="1"/>
          <w:numId w:val="59"/>
        </w:numPr>
        <w:tabs>
          <w:tab w:val="left" w:pos="0"/>
        </w:tabs>
        <w:spacing w:after="0" w:line="360" w:lineRule="auto"/>
        <w:ind w:left="709" w:hanging="720"/>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KELOMPOK SASARAN</w:t>
      </w:r>
    </w:p>
    <w:p>
      <w:pPr>
        <w:tabs>
          <w:tab w:val="left" w:pos="0"/>
          <w:tab w:val="left" w:pos="1418"/>
        </w:tabs>
        <w:spacing w:after="0" w:line="360" w:lineRule="auto"/>
        <w:ind w:left="709"/>
        <w:contextualSpacing/>
        <w:jc w:val="both"/>
        <w:rPr>
          <w:rFonts w:ascii="Bookman Old Style" w:hAnsi="Bookman Old Style" w:eastAsia="Times New Roman" w:cs="Tahoma"/>
          <w:color w:val="000000" w:themeColor="text1"/>
          <w:sz w:val="24"/>
          <w:szCs w:val="24"/>
          <w:shd w:val="clear" w:color="auto" w:fill="FFFFFF"/>
          <w14:textFill>
            <w14:solidFill>
              <w14:schemeClr w14:val="tx1"/>
            </w14:solidFill>
          </w14:textFill>
        </w:rPr>
      </w:pPr>
      <w:r>
        <w:rPr>
          <w:rFonts w:ascii="Bookman Old Style" w:hAnsi="Bookman Old Style" w:eastAsia="Times New Roman" w:cs="Tahoma"/>
          <w:color w:val="000000" w:themeColor="text1"/>
          <w:sz w:val="24"/>
          <w:szCs w:val="24"/>
          <w:shd w:val="clear" w:color="auto" w:fill="FFFFFF"/>
          <w14:textFill>
            <w14:solidFill>
              <w14:schemeClr w14:val="tx1"/>
            </w14:solidFill>
          </w14:textFill>
        </w:rPr>
        <w:tab/>
      </w:r>
      <w:r>
        <w:rPr>
          <w:rFonts w:ascii="Bookman Old Style" w:hAnsi="Bookman Old Style" w:eastAsia="Times New Roman" w:cs="Tahoma"/>
          <w:color w:val="000000" w:themeColor="text1"/>
          <w:sz w:val="24"/>
          <w:szCs w:val="24"/>
          <w:shd w:val="clear" w:color="auto" w:fill="FFFFFF"/>
          <w14:textFill>
            <w14:solidFill>
              <w14:schemeClr w14:val="tx1"/>
            </w14:solidFill>
          </w14:textFill>
        </w:rPr>
        <w:tab/>
      </w:r>
      <w:r>
        <w:rPr>
          <w:rFonts w:ascii="Bookman Old Style" w:hAnsi="Bookman Old Style" w:eastAsia="Times New Roman" w:cs="Tahoma"/>
          <w:color w:val="000000" w:themeColor="text1"/>
          <w:sz w:val="24"/>
          <w:szCs w:val="24"/>
          <w:shd w:val="clear" w:color="auto" w:fill="FFFFFF"/>
          <w14:textFill>
            <w14:solidFill>
              <w14:schemeClr w14:val="tx1"/>
            </w14:solidFill>
          </w14:textFill>
        </w:rPr>
        <w:t>Selanjutnya guna mendukung efektifitas sasaran program Dinas Perdagangan, Koperasi dan Usaha Kecil dan Menengah dibantu oleh :</w:t>
      </w:r>
    </w:p>
    <w:p>
      <w:pPr>
        <w:numPr>
          <w:ilvl w:val="0"/>
          <w:numId w:val="136"/>
        </w:numPr>
        <w:spacing w:after="120" w:line="360" w:lineRule="auto"/>
        <w:ind w:left="1134" w:hanging="435"/>
        <w:contextualSpacing/>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OPD yang terkait bidang Perdagangan, Koperasi, Usaha Kecil dan Menengah Kabupaten Kepulauan Selayar.</w:t>
      </w:r>
    </w:p>
    <w:p>
      <w:pPr>
        <w:numPr>
          <w:ilvl w:val="0"/>
          <w:numId w:val="136"/>
        </w:numPr>
        <w:spacing w:after="120" w:line="360" w:lineRule="auto"/>
        <w:ind w:left="1134" w:hanging="43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Pelaku usaha UKM dan Koperasi yang berpotensi sebagai sumber penguatan perekonomian kerakyatan Masyarakat </w:t>
      </w:r>
    </w:p>
    <w:p>
      <w:pPr>
        <w:numPr>
          <w:ilvl w:val="0"/>
          <w:numId w:val="136"/>
        </w:numPr>
        <w:spacing w:after="120" w:line="360" w:lineRule="auto"/>
        <w:ind w:left="1134" w:hanging="435"/>
        <w:contextualSpacing/>
        <w:jc w:val="both"/>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Lembaga/Institusi lainnya yang mendukung peningkatan peran UKM dan Koperasi dalam peningkatkan produktivitas</w:t>
      </w:r>
    </w:p>
    <w:p>
      <w:pPr>
        <w:spacing w:after="120" w:line="360" w:lineRule="auto"/>
        <w:ind w:left="1134"/>
        <w:contextualSpacing/>
        <w:jc w:val="both"/>
        <w:rPr>
          <w:rFonts w:ascii="Bookman Old Style" w:hAnsi="Bookman Old Style" w:eastAsia="Times New Roman" w:cs="Tahoma"/>
          <w:color w:val="000000" w:themeColor="text1"/>
          <w:sz w:val="24"/>
          <w:szCs w:val="24"/>
          <w14:textFill>
            <w14:solidFill>
              <w14:schemeClr w14:val="tx1"/>
            </w14:solidFill>
          </w14:textFill>
        </w:rPr>
      </w:pPr>
    </w:p>
    <w:p>
      <w:pPr>
        <w:numPr>
          <w:ilvl w:val="1"/>
          <w:numId w:val="59"/>
        </w:numPr>
        <w:tabs>
          <w:tab w:val="left" w:pos="0"/>
        </w:tabs>
        <w:spacing w:after="0" w:line="360" w:lineRule="auto"/>
        <w:ind w:left="426" w:hanging="426"/>
        <w:contextualSpacing/>
        <w:jc w:val="both"/>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INDIKATOR KINERJA DAN PENDANAAN INDIKATIF</w:t>
      </w:r>
    </w:p>
    <w:p>
      <w:pPr>
        <w:tabs>
          <w:tab w:val="left" w:pos="0"/>
        </w:tabs>
        <w:spacing w:after="0" w:line="360" w:lineRule="auto"/>
        <w:ind w:firstLine="720"/>
        <w:jc w:val="both"/>
        <w:rPr>
          <w:rFonts w:ascii="Bookman Old Style" w:hAnsi="Bookman Old Style" w:eastAsia="Times New Roman" w:cs="Times New Roman"/>
          <w:color w:val="000000" w:themeColor="text1"/>
          <w:sz w:val="24"/>
          <w:szCs w:val="24"/>
          <w14:textFill>
            <w14:solidFill>
              <w14:schemeClr w14:val="tx1"/>
            </w14:solidFill>
          </w14:textFill>
        </w:rPr>
        <w:sectPr>
          <w:pgSz w:w="12240" w:h="20160"/>
          <w:pgMar w:top="1134" w:right="1134" w:bottom="2098" w:left="1701" w:header="720" w:footer="2268" w:gutter="0"/>
          <w:cols w:space="720" w:num="1"/>
          <w:docGrid w:linePitch="326" w:charSpace="0"/>
        </w:sectPr>
      </w:pPr>
      <w:r>
        <w:rPr>
          <w:rFonts w:ascii="Bookman Old Style" w:hAnsi="Bookman Old Style" w:eastAsia="Times New Roman" w:cs="Tahoma"/>
          <w:color w:val="000000" w:themeColor="text1"/>
          <w:sz w:val="24"/>
          <w:szCs w:val="24"/>
          <w14:textFill>
            <w14:solidFill>
              <w14:schemeClr w14:val="tx1"/>
            </w14:solidFill>
          </w14:textFill>
        </w:rPr>
        <w:t>Untuk lebih jelasnya, Rencana Program, Kegiatan, Indikator Kinerja, Kelompok Sasaran, dan Pendanaan Indikatif diuraikan dalam tabel 6.3.1. beri</w:t>
      </w:r>
      <w:r>
        <w:rPr>
          <w:rFonts w:ascii="Bookman Old Style" w:hAnsi="Bookman Old Style" w:eastAsia="Times New Roman" w:cs="Times New Roman"/>
          <w:color w:val="000000" w:themeColor="text1"/>
          <w:sz w:val="24"/>
          <w:szCs w:val="24"/>
          <w14:textFill>
            <w14:solidFill>
              <w14:schemeClr w14:val="tx1"/>
            </w14:solidFill>
          </w14:textFill>
        </w:rPr>
        <w:t>ku</w:t>
      </w:r>
    </w:p>
    <w:tbl>
      <w:tblPr>
        <w:tblStyle w:val="4"/>
        <w:tblW w:w="17850" w:type="dxa"/>
        <w:tblInd w:w="-520" w:type="dxa"/>
        <w:tblLayout w:type="fixed"/>
        <w:tblCellMar>
          <w:top w:w="0" w:type="dxa"/>
          <w:left w:w="108" w:type="dxa"/>
          <w:bottom w:w="0" w:type="dxa"/>
          <w:right w:w="108" w:type="dxa"/>
        </w:tblCellMar>
      </w:tblPr>
      <w:tblGrid>
        <w:gridCol w:w="366"/>
        <w:gridCol w:w="717"/>
        <w:gridCol w:w="683"/>
        <w:gridCol w:w="800"/>
        <w:gridCol w:w="384"/>
        <w:gridCol w:w="333"/>
        <w:gridCol w:w="350"/>
        <w:gridCol w:w="333"/>
        <w:gridCol w:w="400"/>
        <w:gridCol w:w="434"/>
        <w:gridCol w:w="833"/>
        <w:gridCol w:w="874"/>
        <w:gridCol w:w="548"/>
        <w:gridCol w:w="523"/>
        <w:gridCol w:w="1121"/>
        <w:gridCol w:w="523"/>
        <w:gridCol w:w="1090"/>
        <w:gridCol w:w="442"/>
        <w:gridCol w:w="1152"/>
        <w:gridCol w:w="523"/>
        <w:gridCol w:w="1083"/>
        <w:gridCol w:w="495"/>
        <w:gridCol w:w="1173"/>
        <w:gridCol w:w="523"/>
        <w:gridCol w:w="1077"/>
        <w:gridCol w:w="332"/>
        <w:gridCol w:w="738"/>
      </w:tblGrid>
      <w:tr>
        <w:tblPrEx>
          <w:tblCellMar>
            <w:top w:w="0" w:type="dxa"/>
            <w:left w:w="108" w:type="dxa"/>
            <w:bottom w:w="0" w:type="dxa"/>
            <w:right w:w="108" w:type="dxa"/>
          </w:tblCellMar>
        </w:tblPrEx>
        <w:trPr>
          <w:trHeight w:val="275" w:hRule="atLeast"/>
        </w:trPr>
        <w:tc>
          <w:tcPr>
            <w:tcW w:w="17850" w:type="dxa"/>
            <w:gridSpan w:val="27"/>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(Tabel 6.3.1) Rencana Program, Indikator Kinerja, Kelompok Sasaran, dan Pendanaan Indikatif</w:t>
            </w:r>
          </w:p>
        </w:tc>
      </w:tr>
      <w:tr>
        <w:tblPrEx>
          <w:tblCellMar>
            <w:top w:w="0" w:type="dxa"/>
            <w:left w:w="108" w:type="dxa"/>
            <w:bottom w:w="0" w:type="dxa"/>
            <w:right w:w="108" w:type="dxa"/>
          </w:tblCellMar>
        </w:tblPrEx>
        <w:trPr>
          <w:trHeight w:val="262" w:hRule="atLeast"/>
        </w:trPr>
        <w:tc>
          <w:tcPr>
            <w:tcW w:w="366"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717" w:type="dxa"/>
            <w:tcBorders>
              <w:top w:val="nil"/>
              <w:left w:val="nil"/>
              <w:bottom w:val="nil"/>
              <w:right w:val="nil"/>
            </w:tcBorders>
            <w:shd w:val="clear" w:color="auto" w:fill="auto"/>
            <w:noWrap/>
          </w:tcPr>
          <w:p>
            <w:pPr>
              <w:spacing w:after="0" w:line="240" w:lineRule="auto"/>
              <w:rPr>
                <w:rFonts w:ascii="Arial Narrow" w:hAnsi="Arial Narrow" w:eastAsia="Times New Roman" w:cs="Calibri"/>
                <w:sz w:val="12"/>
                <w:szCs w:val="12"/>
              </w:rPr>
            </w:pPr>
          </w:p>
        </w:tc>
        <w:tc>
          <w:tcPr>
            <w:tcW w:w="683" w:type="dxa"/>
            <w:tcBorders>
              <w:top w:val="nil"/>
              <w:left w:val="nil"/>
              <w:bottom w:val="nil"/>
              <w:right w:val="nil"/>
            </w:tcBorders>
            <w:shd w:val="clear" w:color="auto" w:fill="auto"/>
            <w:noWrap/>
          </w:tcPr>
          <w:p>
            <w:pPr>
              <w:spacing w:after="0" w:line="240" w:lineRule="auto"/>
              <w:rPr>
                <w:rFonts w:ascii="Arial Narrow" w:hAnsi="Arial Narrow" w:eastAsia="Times New Roman" w:cs="Calibri"/>
                <w:sz w:val="12"/>
                <w:szCs w:val="12"/>
              </w:rPr>
            </w:pPr>
          </w:p>
        </w:tc>
        <w:tc>
          <w:tcPr>
            <w:tcW w:w="800" w:type="dxa"/>
            <w:tcBorders>
              <w:top w:val="nil"/>
              <w:left w:val="nil"/>
              <w:bottom w:val="nil"/>
              <w:right w:val="nil"/>
            </w:tcBorders>
            <w:shd w:val="clear" w:color="auto" w:fill="auto"/>
            <w:noWrap/>
          </w:tcPr>
          <w:p>
            <w:pPr>
              <w:spacing w:after="0" w:line="240" w:lineRule="auto"/>
              <w:rPr>
                <w:rFonts w:ascii="Arial Narrow" w:hAnsi="Arial Narrow" w:eastAsia="Times New Roman" w:cs="Calibri"/>
                <w:sz w:val="12"/>
                <w:szCs w:val="12"/>
              </w:rPr>
            </w:pPr>
          </w:p>
        </w:tc>
        <w:tc>
          <w:tcPr>
            <w:tcW w:w="384"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33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350"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33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400"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434"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833" w:type="dxa"/>
            <w:tcBorders>
              <w:top w:val="nil"/>
              <w:left w:val="nil"/>
              <w:bottom w:val="nil"/>
              <w:right w:val="nil"/>
            </w:tcBorders>
            <w:shd w:val="clear" w:color="auto" w:fill="auto"/>
            <w:noWrap/>
          </w:tcPr>
          <w:p>
            <w:pPr>
              <w:spacing w:after="0" w:line="240" w:lineRule="auto"/>
              <w:rPr>
                <w:rFonts w:ascii="Arial Narrow" w:hAnsi="Arial Narrow" w:eastAsia="Times New Roman" w:cs="Calibri"/>
                <w:sz w:val="12"/>
                <w:szCs w:val="12"/>
              </w:rPr>
            </w:pPr>
          </w:p>
        </w:tc>
        <w:tc>
          <w:tcPr>
            <w:tcW w:w="874" w:type="dxa"/>
            <w:tcBorders>
              <w:top w:val="nil"/>
              <w:left w:val="nil"/>
              <w:bottom w:val="nil"/>
              <w:right w:val="nil"/>
            </w:tcBorders>
            <w:shd w:val="clear" w:color="auto" w:fill="auto"/>
            <w:noWrap/>
          </w:tcPr>
          <w:p>
            <w:pPr>
              <w:spacing w:after="0" w:line="240" w:lineRule="auto"/>
              <w:rPr>
                <w:rFonts w:ascii="Arial Narrow" w:hAnsi="Arial Narrow" w:eastAsia="Times New Roman" w:cs="Calibri"/>
                <w:sz w:val="12"/>
                <w:szCs w:val="12"/>
              </w:rPr>
            </w:pPr>
          </w:p>
        </w:tc>
        <w:tc>
          <w:tcPr>
            <w:tcW w:w="548" w:type="dxa"/>
            <w:tcBorders>
              <w:top w:val="nil"/>
              <w:left w:val="nil"/>
              <w:bottom w:val="nil"/>
              <w:right w:val="nil"/>
            </w:tcBorders>
            <w:shd w:val="clear" w:color="auto" w:fill="auto"/>
            <w:noWrap/>
            <w:vAlign w:val="center"/>
          </w:tcPr>
          <w:p>
            <w:pPr>
              <w:spacing w:after="0" w:line="240" w:lineRule="auto"/>
              <w:jc w:val="center"/>
              <w:rPr>
                <w:rFonts w:ascii="Arial Narrow" w:hAnsi="Arial Narrow" w:eastAsia="Times New Roman" w:cs="Calibri"/>
                <w:sz w:val="12"/>
                <w:szCs w:val="12"/>
              </w:rPr>
            </w:pPr>
          </w:p>
        </w:tc>
        <w:tc>
          <w:tcPr>
            <w:tcW w:w="52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121"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52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090"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442"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152"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52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083"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495"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173"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523"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c>
          <w:tcPr>
            <w:tcW w:w="1077"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332" w:type="dxa"/>
            <w:tcBorders>
              <w:top w:val="nil"/>
              <w:left w:val="nil"/>
              <w:bottom w:val="nil"/>
              <w:right w:val="nil"/>
            </w:tcBorders>
            <w:shd w:val="clear" w:color="auto" w:fill="auto"/>
            <w:noWrap/>
          </w:tcPr>
          <w:p>
            <w:pPr>
              <w:spacing w:after="0" w:line="240" w:lineRule="auto"/>
              <w:jc w:val="right"/>
              <w:rPr>
                <w:rFonts w:ascii="Arial Narrow" w:hAnsi="Arial Narrow" w:eastAsia="Times New Roman" w:cs="Calibri"/>
                <w:sz w:val="12"/>
                <w:szCs w:val="12"/>
              </w:rPr>
            </w:pPr>
          </w:p>
        </w:tc>
        <w:tc>
          <w:tcPr>
            <w:tcW w:w="738" w:type="dxa"/>
            <w:tcBorders>
              <w:top w:val="nil"/>
              <w:left w:val="nil"/>
              <w:bottom w:val="nil"/>
              <w:right w:val="nil"/>
            </w:tcBorders>
            <w:shd w:val="clear" w:color="auto" w:fill="auto"/>
            <w:noWrap/>
          </w:tcPr>
          <w:p>
            <w:pPr>
              <w:spacing w:after="0" w:line="240" w:lineRule="auto"/>
              <w:jc w:val="center"/>
              <w:rPr>
                <w:rFonts w:ascii="Arial Narrow" w:hAnsi="Arial Narrow" w:eastAsia="Times New Roman" w:cs="Calibri"/>
                <w:sz w:val="12"/>
                <w:szCs w:val="12"/>
              </w:rPr>
            </w:pPr>
          </w:p>
        </w:tc>
      </w:tr>
      <w:tr>
        <w:tblPrEx>
          <w:tblCellMar>
            <w:top w:w="0" w:type="dxa"/>
            <w:left w:w="108" w:type="dxa"/>
            <w:bottom w:w="0" w:type="dxa"/>
            <w:right w:w="108" w:type="dxa"/>
          </w:tblCellMar>
        </w:tblPrEx>
        <w:trPr>
          <w:trHeight w:val="262" w:hRule="atLeast"/>
        </w:trPr>
        <w:tc>
          <w:tcPr>
            <w:tcW w:w="366"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No.</w:t>
            </w:r>
          </w:p>
        </w:tc>
        <w:tc>
          <w:tcPr>
            <w:tcW w:w="717"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Tujuan</w:t>
            </w:r>
          </w:p>
        </w:tc>
        <w:tc>
          <w:tcPr>
            <w:tcW w:w="683"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Sasaran</w:t>
            </w:r>
          </w:p>
        </w:tc>
        <w:tc>
          <w:tcPr>
            <w:tcW w:w="800"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Indikator Tujuan/Sasaran</w:t>
            </w:r>
          </w:p>
        </w:tc>
        <w:tc>
          <w:tcPr>
            <w:tcW w:w="2234" w:type="dxa"/>
            <w:gridSpan w:val="6"/>
            <w:vMerge w:val="restart"/>
            <w:tcBorders>
              <w:top w:val="single" w:color="auto" w:sz="4" w:space="0"/>
              <w:left w:val="single" w:color="auto" w:sz="4" w:space="0"/>
              <w:bottom w:val="single" w:color="000000"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Kode</w:t>
            </w:r>
          </w:p>
        </w:tc>
        <w:tc>
          <w:tcPr>
            <w:tcW w:w="833"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Program/ Kegiatan/ Sub Kegiatan</w:t>
            </w:r>
          </w:p>
        </w:tc>
        <w:tc>
          <w:tcPr>
            <w:tcW w:w="874"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Indikator Kinerja Program (Outcome) dan Kegiatan (Output)</w:t>
            </w:r>
          </w:p>
        </w:tc>
        <w:tc>
          <w:tcPr>
            <w:tcW w:w="548" w:type="dxa"/>
            <w:vMerge w:val="restart"/>
            <w:tcBorders>
              <w:top w:val="single" w:color="auto" w:sz="4" w:space="0"/>
              <w:left w:val="single" w:color="auto" w:sz="4" w:space="0"/>
              <w:bottom w:val="single" w:color="000000" w:sz="4" w:space="0"/>
              <w:right w:val="single" w:color="auto" w:sz="4" w:space="0"/>
            </w:tcBorders>
            <w:shd w:val="clear" w:color="000000" w:fill="9BBB59"/>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Data Capaian pada Awal Tahun Perencanaan</w:t>
            </w:r>
          </w:p>
        </w:tc>
        <w:tc>
          <w:tcPr>
            <w:tcW w:w="9725" w:type="dxa"/>
            <w:gridSpan w:val="12"/>
            <w:tcBorders>
              <w:top w:val="single" w:color="auto" w:sz="4" w:space="0"/>
              <w:left w:val="nil"/>
              <w:bottom w:val="single" w:color="auto" w:sz="4" w:space="0"/>
              <w:right w:val="single" w:color="000000" w:sz="4" w:space="0"/>
            </w:tcBorders>
            <w:shd w:val="clear" w:color="000000" w:fill="9BBB59"/>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 Kinerja Program dan Kerangka Pendanaan</w:t>
            </w:r>
          </w:p>
        </w:tc>
        <w:tc>
          <w:tcPr>
            <w:tcW w:w="332"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Unit Kerja OPD PJ</w:t>
            </w:r>
          </w:p>
        </w:tc>
        <w:tc>
          <w:tcPr>
            <w:tcW w:w="738" w:type="dxa"/>
            <w:vMerge w:val="restart"/>
            <w:tcBorders>
              <w:top w:val="single" w:color="auto" w:sz="4" w:space="0"/>
              <w:left w:val="single" w:color="auto" w:sz="4" w:space="0"/>
              <w:bottom w:val="single" w:color="000000"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Lokasi</w:t>
            </w:r>
          </w:p>
        </w:tc>
      </w:tr>
      <w:tr>
        <w:tblPrEx>
          <w:tblCellMar>
            <w:top w:w="0" w:type="dxa"/>
            <w:left w:w="108" w:type="dxa"/>
            <w:bottom w:w="0" w:type="dxa"/>
            <w:right w:w="108" w:type="dxa"/>
          </w:tblCellMar>
        </w:tblPrEx>
        <w:trPr>
          <w:trHeight w:val="262" w:hRule="atLeast"/>
        </w:trPr>
        <w:tc>
          <w:tcPr>
            <w:tcW w:w="366"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717"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683"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80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2234" w:type="dxa"/>
            <w:gridSpan w:val="6"/>
            <w:vMerge w:val="continue"/>
            <w:tcBorders>
              <w:top w:val="single" w:color="auto" w:sz="4" w:space="0"/>
              <w:left w:val="single" w:color="auto" w:sz="4" w:space="0"/>
              <w:bottom w:val="single" w:color="000000" w:sz="4" w:space="0"/>
              <w:right w:val="single" w:color="000000" w:sz="4" w:space="0"/>
            </w:tcBorders>
            <w:vAlign w:val="center"/>
          </w:tcPr>
          <w:p>
            <w:pPr>
              <w:spacing w:after="0" w:line="240" w:lineRule="auto"/>
              <w:rPr>
                <w:rFonts w:ascii="Arial Narrow" w:hAnsi="Arial Narrow" w:eastAsia="Times New Roman" w:cs="Calibri"/>
                <w:b/>
                <w:bCs/>
                <w:sz w:val="12"/>
                <w:szCs w:val="12"/>
              </w:rPr>
            </w:pPr>
          </w:p>
        </w:tc>
        <w:tc>
          <w:tcPr>
            <w:tcW w:w="833"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874"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548"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1644"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2022</w:t>
            </w:r>
          </w:p>
        </w:tc>
        <w:tc>
          <w:tcPr>
            <w:tcW w:w="1613"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2023</w:t>
            </w:r>
          </w:p>
        </w:tc>
        <w:tc>
          <w:tcPr>
            <w:tcW w:w="1594"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2024</w:t>
            </w:r>
          </w:p>
        </w:tc>
        <w:tc>
          <w:tcPr>
            <w:tcW w:w="1606"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2025</w:t>
            </w:r>
          </w:p>
        </w:tc>
        <w:tc>
          <w:tcPr>
            <w:tcW w:w="1668"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2026</w:t>
            </w:r>
          </w:p>
        </w:tc>
        <w:tc>
          <w:tcPr>
            <w:tcW w:w="1600" w:type="dxa"/>
            <w:gridSpan w:val="2"/>
            <w:tcBorders>
              <w:top w:val="single" w:color="auto" w:sz="4" w:space="0"/>
              <w:left w:val="nil"/>
              <w:bottom w:val="single" w:color="auto" w:sz="4" w:space="0"/>
              <w:right w:val="single" w:color="000000"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Kondisi Kinerja pada Akhir Periode Renstra</w:t>
            </w:r>
          </w:p>
        </w:tc>
        <w:tc>
          <w:tcPr>
            <w:tcW w:w="332"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738"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r>
      <w:tr>
        <w:tblPrEx>
          <w:tblCellMar>
            <w:top w:w="0" w:type="dxa"/>
            <w:left w:w="108" w:type="dxa"/>
            <w:bottom w:w="0" w:type="dxa"/>
            <w:right w:w="108" w:type="dxa"/>
          </w:tblCellMar>
        </w:tblPrEx>
        <w:trPr>
          <w:trHeight w:val="914" w:hRule="atLeast"/>
        </w:trPr>
        <w:tc>
          <w:tcPr>
            <w:tcW w:w="366"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717"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683"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800"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2234" w:type="dxa"/>
            <w:gridSpan w:val="6"/>
            <w:vMerge w:val="continue"/>
            <w:tcBorders>
              <w:top w:val="single" w:color="auto" w:sz="4" w:space="0"/>
              <w:left w:val="single" w:color="auto" w:sz="4" w:space="0"/>
              <w:bottom w:val="single" w:color="000000" w:sz="4" w:space="0"/>
              <w:right w:val="single" w:color="000000" w:sz="4" w:space="0"/>
            </w:tcBorders>
            <w:vAlign w:val="center"/>
          </w:tcPr>
          <w:p>
            <w:pPr>
              <w:spacing w:after="0" w:line="240" w:lineRule="auto"/>
              <w:rPr>
                <w:rFonts w:ascii="Arial Narrow" w:hAnsi="Arial Narrow" w:eastAsia="Times New Roman" w:cs="Calibri"/>
                <w:b/>
                <w:bCs/>
                <w:sz w:val="12"/>
                <w:szCs w:val="12"/>
              </w:rPr>
            </w:pPr>
          </w:p>
        </w:tc>
        <w:tc>
          <w:tcPr>
            <w:tcW w:w="833"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874"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548"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52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121"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52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090"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442"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152"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52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08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495"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17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523"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Target</w:t>
            </w:r>
          </w:p>
        </w:tc>
        <w:tc>
          <w:tcPr>
            <w:tcW w:w="1077" w:type="dxa"/>
            <w:tcBorders>
              <w:top w:val="nil"/>
              <w:left w:val="nil"/>
              <w:bottom w:val="single" w:color="auto" w:sz="4" w:space="0"/>
              <w:right w:val="single" w:color="auto" w:sz="4" w:space="0"/>
            </w:tcBorders>
            <w:shd w:val="clear" w:color="000000" w:fill="9BBB59"/>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Rp.</w:t>
            </w:r>
          </w:p>
        </w:tc>
        <w:tc>
          <w:tcPr>
            <w:tcW w:w="332"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c>
          <w:tcPr>
            <w:tcW w:w="738"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ascii="Arial Narrow" w:hAnsi="Arial Narrow" w:eastAsia="Times New Roman" w:cs="Calibri"/>
                <w:b/>
                <w:bCs/>
                <w:sz w:val="12"/>
                <w:szCs w:val="12"/>
              </w:rPr>
            </w:pPr>
          </w:p>
        </w:tc>
      </w:tr>
      <w:tr>
        <w:tblPrEx>
          <w:tblCellMar>
            <w:top w:w="0" w:type="dxa"/>
            <w:left w:w="108" w:type="dxa"/>
            <w:bottom w:w="0" w:type="dxa"/>
            <w:right w:w="108" w:type="dxa"/>
          </w:tblCellMar>
        </w:tblPrEx>
        <w:trPr>
          <w:trHeight w:val="26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w:t>
            </w:r>
          </w:p>
        </w:tc>
        <w:tc>
          <w:tcPr>
            <w:tcW w:w="717"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683"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8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w:t>
            </w:r>
          </w:p>
        </w:tc>
        <w:tc>
          <w:tcPr>
            <w:tcW w:w="2234" w:type="dxa"/>
            <w:gridSpan w:val="6"/>
            <w:tcBorders>
              <w:top w:val="single" w:color="auto" w:sz="4" w:space="0"/>
              <w:left w:val="nil"/>
              <w:bottom w:val="single" w:color="auto" w:sz="4" w:space="0"/>
              <w:right w:val="single" w:color="000000"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w:t>
            </w:r>
          </w:p>
        </w:tc>
        <w:tc>
          <w:tcPr>
            <w:tcW w:w="83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(5)</w:t>
            </w:r>
          </w:p>
        </w:tc>
        <w:tc>
          <w:tcPr>
            <w:tcW w:w="87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(6)</w:t>
            </w:r>
          </w:p>
        </w:tc>
        <w:tc>
          <w:tcPr>
            <w:tcW w:w="548" w:type="dxa"/>
            <w:tcBorders>
              <w:top w:val="nil"/>
              <w:left w:val="nil"/>
              <w:bottom w:val="single" w:color="auto" w:sz="4" w:space="0"/>
              <w:right w:val="nil"/>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(7)</w:t>
            </w:r>
          </w:p>
        </w:tc>
        <w:tc>
          <w:tcPr>
            <w:tcW w:w="523"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(8)</w:t>
            </w:r>
          </w:p>
        </w:tc>
        <w:tc>
          <w:tcPr>
            <w:tcW w:w="1121"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(9)</w:t>
            </w:r>
          </w:p>
        </w:tc>
        <w:tc>
          <w:tcPr>
            <w:tcW w:w="523"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(10)</w:t>
            </w:r>
          </w:p>
        </w:tc>
        <w:tc>
          <w:tcPr>
            <w:tcW w:w="1090"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44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w:t>
            </w:r>
          </w:p>
        </w:tc>
        <w:tc>
          <w:tcPr>
            <w:tcW w:w="1152"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w:t>
            </w:r>
          </w:p>
        </w:tc>
        <w:tc>
          <w:tcPr>
            <w:tcW w:w="523"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(14)</w:t>
            </w:r>
          </w:p>
        </w:tc>
        <w:tc>
          <w:tcPr>
            <w:tcW w:w="108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w:t>
            </w:r>
          </w:p>
        </w:tc>
        <w:tc>
          <w:tcPr>
            <w:tcW w:w="495"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(16)</w:t>
            </w:r>
          </w:p>
        </w:tc>
        <w:tc>
          <w:tcPr>
            <w:tcW w:w="117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(17)</w:t>
            </w:r>
          </w:p>
        </w:tc>
        <w:tc>
          <w:tcPr>
            <w:tcW w:w="523"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(18)</w:t>
            </w:r>
          </w:p>
        </w:tc>
        <w:tc>
          <w:tcPr>
            <w:tcW w:w="1077"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(19)</w:t>
            </w:r>
          </w:p>
        </w:tc>
        <w:tc>
          <w:tcPr>
            <w:tcW w:w="332"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(21)</w:t>
            </w:r>
          </w:p>
        </w:tc>
      </w:tr>
      <w:tr>
        <w:tblPrEx>
          <w:tblCellMar>
            <w:top w:w="0" w:type="dxa"/>
            <w:left w:w="108" w:type="dxa"/>
            <w:bottom w:w="0" w:type="dxa"/>
            <w:right w:w="108" w:type="dxa"/>
          </w:tblCellMar>
        </w:tblPrEx>
        <w:trPr>
          <w:trHeight w:val="1776"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w:t>
            </w:r>
          </w:p>
        </w:tc>
        <w:tc>
          <w:tcPr>
            <w:tcW w:w="717"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Meningkatkan akuntabilitas kinerja dan keuangan Dinas Perindag KUKM</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Meningkatnya Nilai SAKIP</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Nilai AKIP Dinas Perindag KUKM</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nil"/>
              <w:left w:val="nil"/>
              <w:bottom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51,01</w:t>
            </w:r>
          </w:p>
        </w:tc>
        <w:tc>
          <w:tcPr>
            <w:tcW w:w="52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60,1</w:t>
            </w:r>
          </w:p>
        </w:tc>
        <w:tc>
          <w:tcPr>
            <w:tcW w:w="1121"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65,15</w:t>
            </w:r>
          </w:p>
        </w:tc>
        <w:tc>
          <w:tcPr>
            <w:tcW w:w="1090"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70,25</w:t>
            </w:r>
          </w:p>
        </w:tc>
        <w:tc>
          <w:tcPr>
            <w:tcW w:w="1152"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75,35</w:t>
            </w:r>
          </w:p>
        </w:tc>
        <w:tc>
          <w:tcPr>
            <w:tcW w:w="108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80,45</w:t>
            </w:r>
          </w:p>
        </w:tc>
        <w:tc>
          <w:tcPr>
            <w:tcW w:w="117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80,45</w:t>
            </w:r>
          </w:p>
        </w:tc>
        <w:tc>
          <w:tcPr>
            <w:tcW w:w="1077"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DisperindagKUKM</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Nilai perencanaan kinerja</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single" w:color="auto" w:sz="4" w:space="0"/>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single" w:color="auto" w:sz="4" w:space="0"/>
              <w:left w:val="single" w:color="auto" w:sz="4" w:space="0"/>
              <w:bottom w:val="nil"/>
              <w:right w:val="nil"/>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18,25</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19,25</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21,25</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23,25</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24,25</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25,25</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25,25</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Nilai pengukuran kinerja</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single" w:color="auto" w:sz="4" w:space="0"/>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single" w:color="auto" w:sz="4" w:space="0"/>
              <w:left w:val="single" w:color="auto" w:sz="4" w:space="0"/>
              <w:bottom w:val="single" w:color="auto" w:sz="4" w:space="0"/>
              <w:right w:val="nil"/>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12,15</w:t>
            </w:r>
          </w:p>
        </w:tc>
        <w:tc>
          <w:tcPr>
            <w:tcW w:w="52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13,15</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14,15</w:t>
            </w:r>
          </w:p>
        </w:tc>
        <w:tc>
          <w:tcPr>
            <w:tcW w:w="109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15,15</w:t>
            </w:r>
          </w:p>
        </w:tc>
        <w:tc>
          <w:tcPr>
            <w:tcW w:w="115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16,15</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17,15</w:t>
            </w:r>
          </w:p>
        </w:tc>
        <w:tc>
          <w:tcPr>
            <w:tcW w:w="117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17,15</w:t>
            </w:r>
          </w:p>
        </w:tc>
        <w:tc>
          <w:tcPr>
            <w:tcW w:w="10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444"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Nilai pelaporan kinerja</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single" w:color="auto" w:sz="4" w:space="0"/>
              <w:left w:val="single" w:color="auto" w:sz="4" w:space="0"/>
              <w:right w:val="nil"/>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11,15</w:t>
            </w:r>
          </w:p>
        </w:tc>
        <w:tc>
          <w:tcPr>
            <w:tcW w:w="523" w:type="dxa"/>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12,15</w:t>
            </w:r>
          </w:p>
        </w:tc>
        <w:tc>
          <w:tcPr>
            <w:tcW w:w="1121"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13,15</w:t>
            </w:r>
          </w:p>
        </w:tc>
        <w:tc>
          <w:tcPr>
            <w:tcW w:w="1090"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14,15</w:t>
            </w:r>
          </w:p>
        </w:tc>
        <w:tc>
          <w:tcPr>
            <w:tcW w:w="1152"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15,15</w:t>
            </w:r>
          </w:p>
        </w:tc>
        <w:tc>
          <w:tcPr>
            <w:tcW w:w="108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16,15</w:t>
            </w:r>
          </w:p>
        </w:tc>
        <w:tc>
          <w:tcPr>
            <w:tcW w:w="117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16,15</w:t>
            </w:r>
          </w:p>
        </w:tc>
        <w:tc>
          <w:tcPr>
            <w:tcW w:w="1077"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444"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Nilai evaluasi internal</w:t>
            </w:r>
          </w:p>
        </w:tc>
        <w:tc>
          <w:tcPr>
            <w:tcW w:w="38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left w:val="single" w:color="auto" w:sz="4" w:space="0"/>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left w:val="nil"/>
              <w:bottom w:val="single" w:color="auto" w:sz="4" w:space="0"/>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10,51</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11,51</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12,51</w:t>
            </w:r>
          </w:p>
        </w:tc>
        <w:tc>
          <w:tcPr>
            <w:tcW w:w="1090"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13,51</w:t>
            </w:r>
          </w:p>
        </w:tc>
        <w:tc>
          <w:tcPr>
            <w:tcW w:w="115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14,51</w:t>
            </w:r>
          </w:p>
        </w:tc>
        <w:tc>
          <w:tcPr>
            <w:tcW w:w="108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15,51</w:t>
            </w:r>
          </w:p>
        </w:tc>
        <w:tc>
          <w:tcPr>
            <w:tcW w:w="117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15,51</w:t>
            </w:r>
          </w:p>
        </w:tc>
        <w:tc>
          <w:tcPr>
            <w:tcW w:w="1077"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50"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xml:space="preserve">Meningkatnya Kualitas Pelayanan Kepada Masyarkat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0,75</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1,25</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1,30</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1,45</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1,55</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1,77</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1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Meningkatnya Tertib Administrasi Pengelolaan Keuangan dan Aset Daerah</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single" w:color="auto" w:sz="4" w:space="0"/>
              <w:bottom w:val="single" w:color="auto" w:sz="4" w:space="0"/>
              <w:right w:val="nil"/>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nil"/>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548"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Sesuai</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41"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Penunjang Urusan Pemerintahan Daerah</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peningkatan laporan capaian kinerja dan keuangan(%)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6.288.450.000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6.374.538.881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6.534.093.589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6.690.846.494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6.850.490.091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6.850.490.091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57"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Capaian Kinerja Keuangan (%)</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951"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Perencanaan, Penganggaran dan Evaluasi Kinerja Perangkat Daerah</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Dokumen Perencanaan, Penganggaran dan Evaluasi Kinerja yang tersusun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140.500.000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156.500.000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175.000.000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199.000.000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228.000.000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228.000.000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095"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Penyusunan Dokumen Perencanaan Perangkat Daerah</w:t>
            </w:r>
          </w:p>
        </w:tc>
        <w:tc>
          <w:tcPr>
            <w:tcW w:w="874"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Perencanaan Perangkat Daerah</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 Dokumen</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 Dokumen</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Dokumen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32.000.000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Dokumen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Dokumen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Dokumen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Dokumen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45.000.000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466"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Dokumen RKA-SKPD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RKA-SKPD dan Laporan Hasil Koordinasi Penyusunan Dokumen RKA-SKPD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14.000.000 </w:t>
            </w:r>
          </w:p>
        </w:tc>
        <w:tc>
          <w:tcPr>
            <w:tcW w:w="442"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16.500.000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19.000.000 </w:t>
            </w:r>
          </w:p>
        </w:tc>
        <w:tc>
          <w:tcPr>
            <w:tcW w:w="495"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2442"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Dokumen Perubahan RKA-SKPD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Perubahan RKA-SKPD dan Laporan Hasil Koordinasi Penyusunan Dokumen Perubahan RKA-SKPD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11.500.000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13.500.000 </w:t>
            </w:r>
          </w:p>
        </w:tc>
        <w:tc>
          <w:tcPr>
            <w:tcW w:w="442"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16.500.000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19.000.000 </w:t>
            </w:r>
          </w:p>
        </w:tc>
        <w:tc>
          <w:tcPr>
            <w:tcW w:w="495"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998"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DPA-SKPD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DPA-SKPD dan Laporan Hasil Koordinasi Penyusunan Dokumen DPA-SKPD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841"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05</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Perubahan DPA-SKPD</w:t>
            </w:r>
          </w:p>
        </w:tc>
        <w:tc>
          <w:tcPr>
            <w:tcW w:w="874"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Perubahan DPA-SKPD dan Laporan Hasil Koordinasi Penyusunan Dokumen Perubahan DPA-SKPD</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Dokumen</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2814"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06</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Laporan Capaian Kinerja dan Ikhtisar Realisasi Kinerja 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Capaian Kinerja dan Ikhtisar Realisasi Kinerja SKPD dan Laporan Hasil Koordinasi Penyusunan Laporan Capaian Kinerja dan Ikhtisar Realisasi Kinerja 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 Laporan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43.000.000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46.000.000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55.000.000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977"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07</w:t>
            </w:r>
          </w:p>
        </w:tc>
        <w:tc>
          <w:tcPr>
            <w:tcW w:w="83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Evaluasi Kinerja Perangkat Daerah</w:t>
            </w:r>
          </w:p>
        </w:tc>
        <w:tc>
          <w:tcPr>
            <w:tcW w:w="874" w:type="dxa"/>
            <w:tcBorders>
              <w:top w:val="nil"/>
              <w:left w:val="nil"/>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Evaluasi Kinerja Perangkat Daerah</w:t>
            </w:r>
          </w:p>
        </w:tc>
        <w:tc>
          <w:tcPr>
            <w:tcW w:w="548" w:type="dxa"/>
            <w:tcBorders>
              <w:top w:val="nil"/>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121"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090"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38.000.000 </w:t>
            </w:r>
          </w:p>
        </w:tc>
        <w:tc>
          <w:tcPr>
            <w:tcW w:w="442"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15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41.000.000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083"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45.000.000 </w:t>
            </w:r>
          </w:p>
        </w:tc>
        <w:tc>
          <w:tcPr>
            <w:tcW w:w="495"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173"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13 Laporan</w:t>
            </w:r>
          </w:p>
        </w:tc>
        <w:tc>
          <w:tcPr>
            <w:tcW w:w="1077"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2"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Administrasi Keuangan Perangkat Daerah</w:t>
            </w:r>
          </w:p>
        </w:tc>
        <w:tc>
          <w:tcPr>
            <w:tcW w:w="874" w:type="dxa"/>
            <w:tcBorders>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Peningkatan Laporan Capaian Kinerja dan Keuangan</w:t>
            </w:r>
          </w:p>
        </w:tc>
        <w:tc>
          <w:tcPr>
            <w:tcW w:w="548"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4.309.000.000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4.330.500.000 </w:t>
            </w:r>
          </w:p>
        </w:tc>
        <w:tc>
          <w:tcPr>
            <w:tcW w:w="44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4.374.479.224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4.424.437.906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4.454.700.000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4.454.700.000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10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Gaji dan Tunjangan ASN</w:t>
            </w:r>
          </w:p>
        </w:tc>
        <w:tc>
          <w:tcPr>
            <w:tcW w:w="874"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Orang yang Menerima Gaji dan Tunjangan ASN</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39 Orang</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39 Orang</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4.286.000.000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39 Orang</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4.302.000.000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39 Orang</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4.339.179.224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39 Orang</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4.382.937.906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39 Orang</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4.405.000.000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39 Orang</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4.405.000.000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2080"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Laporan Keuangan Akhir Tahun SKPD</w:t>
            </w:r>
          </w:p>
        </w:tc>
        <w:tc>
          <w:tcPr>
            <w:tcW w:w="874" w:type="dxa"/>
            <w:tcBorders>
              <w:top w:val="nil"/>
              <w:left w:val="nil"/>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Keuangan Akhir Tahun SKPD dan Laporan Hasil Koordinasi Penyusunan Laporan Keuangan Akhir Tahun SKPD</w:t>
            </w:r>
          </w:p>
        </w:tc>
        <w:tc>
          <w:tcPr>
            <w:tcW w:w="548" w:type="dxa"/>
            <w:tcBorders>
              <w:top w:val="nil"/>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Laporan</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 Laporan</w:t>
            </w:r>
          </w:p>
        </w:tc>
        <w:tc>
          <w:tcPr>
            <w:tcW w:w="1121"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13.500.000 </w:t>
            </w:r>
          </w:p>
        </w:tc>
        <w:tc>
          <w:tcPr>
            <w:tcW w:w="442"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15.300.000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17.500.000 </w:t>
            </w:r>
          </w:p>
        </w:tc>
        <w:tc>
          <w:tcPr>
            <w:tcW w:w="495"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20.700.000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20.700.000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2327"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Penyusunan Laporan Keuangan Bulanan/Triwulan/Semesteran</w:t>
            </w:r>
          </w:p>
        </w:tc>
        <w:tc>
          <w:tcPr>
            <w:tcW w:w="874" w:type="dxa"/>
            <w:tcBorders>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Keuangan Bulanan/Triwulan/Semesteran SKPD dan Laporan Koordinasi Penyusunan Laporan Keuangan Bulanan/Triwulan/Semesteran SKPD</w:t>
            </w:r>
          </w:p>
        </w:tc>
        <w:tc>
          <w:tcPr>
            <w:tcW w:w="548"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Laporan</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Laporan</w:t>
            </w:r>
          </w:p>
        </w:tc>
        <w:tc>
          <w:tcPr>
            <w:tcW w:w="1121"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 laporan</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 laporan</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 laporan</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13.000.000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 laporan</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 laporan</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553"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Penyusunan Pelaporan dan Analisis Prognosis Realisasi Anggaran</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Pelaporan dan Analisis Prognosis Realisasi Anggaran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12 Dokumen</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104"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Administrasi Barang Milik Daerah pada Perangkat Daerah</w:t>
            </w:r>
          </w:p>
        </w:tc>
        <w:tc>
          <w:tcPr>
            <w:tcW w:w="874" w:type="dxa"/>
            <w:tcBorders>
              <w:top w:val="single" w:color="auto" w:sz="4" w:space="0"/>
              <w:left w:val="nil"/>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Laporan Administrasi BMD yang tersusun</w:t>
            </w:r>
          </w:p>
        </w:tc>
        <w:tc>
          <w:tcPr>
            <w:tcW w:w="548" w:type="dxa"/>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single" w:color="auto" w:sz="4" w:space="0"/>
              <w:left w:val="nil"/>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6.000.000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8.000.000 </w:t>
            </w:r>
          </w:p>
        </w:tc>
        <w:tc>
          <w:tcPr>
            <w:tcW w:w="442"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11.000.000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13.000.000 </w:t>
            </w:r>
          </w:p>
        </w:tc>
        <w:tc>
          <w:tcPr>
            <w:tcW w:w="495"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15.000.000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15.000.000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230"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Penyusunan Perencanaan Kebutuhan Barang Milik Daerah SKPD</w:t>
            </w:r>
          </w:p>
        </w:tc>
        <w:tc>
          <w:tcPr>
            <w:tcW w:w="874" w:type="dxa"/>
            <w:tcBorders>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Rencana Kebutuhan Barang Milik Daerah SKPD</w:t>
            </w:r>
          </w:p>
        </w:tc>
        <w:tc>
          <w:tcPr>
            <w:tcW w:w="548"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90"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5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8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7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77"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59"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Pembinaan, Pengawasan, dan Pengendalian Barang Milik Daerah pada 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Hasil Pembinaan, Pengawasan, dan Pengendalian Barang Milik Daerah pada 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68"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Rekonsiliasi dan Penyusunan Laporan Barang Milik Daerah pada 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Rekonsiliasi dan Penyusunan Laporan Barang Milik Daerah pada 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Laporan</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Penatausahaan Barang Milik Daerah pada SKPD</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Laporan Penatausahaan Barang Milik Daerah pada SKPD</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1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Laporan</w:t>
            </w:r>
          </w:p>
        </w:tc>
        <w:tc>
          <w:tcPr>
            <w:tcW w:w="1077"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05</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Administrasi Kepegawaian Perangkat Daerah</w:t>
            </w:r>
          </w:p>
        </w:tc>
        <w:tc>
          <w:tcPr>
            <w:tcW w:w="874" w:type="dxa"/>
            <w:tcBorders>
              <w:top w:val="single" w:color="auto" w:sz="4" w:space="0"/>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peningkatan administrasi kepegawaian perangkat daerah</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100,00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109.500.000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116.000.000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132.500.000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146.200.000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163.914.385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163.914.385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553"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Pakaian Dinas Beserta Atribut Kelengkapannya</w:t>
            </w:r>
          </w:p>
        </w:tc>
        <w:tc>
          <w:tcPr>
            <w:tcW w:w="874" w:type="dxa"/>
            <w:tcBorders>
              <w:top w:val="nil"/>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Paket Pakaian Dinas beserta Atribut Kelengkapan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Paket</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53"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Pendataan dan Pengolahan Administrasi Kepegawaian</w:t>
            </w:r>
          </w:p>
        </w:tc>
        <w:tc>
          <w:tcPr>
            <w:tcW w:w="874" w:type="dxa"/>
            <w:tcBorders>
              <w:top w:val="nil"/>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Pendataan dan Pengolahan Administrasi Kepegawaian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090"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15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22.914.385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4 Dokumen </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22.914.385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553"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Monitoring, evaluasi dan penilaian kinerja pegawai</w:t>
            </w:r>
          </w:p>
        </w:tc>
        <w:tc>
          <w:tcPr>
            <w:tcW w:w="874" w:type="dxa"/>
            <w:tcBorders>
              <w:top w:val="nil"/>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Monitoring, Evaluasi, dan Penilaian Kinerja Pegawai</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090"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15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1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1077"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59"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Pendidikan dan Pelatihan Pegawai Berdasarkan Tugas dan Fungsi</w:t>
            </w:r>
          </w:p>
        </w:tc>
        <w:tc>
          <w:tcPr>
            <w:tcW w:w="874" w:type="dxa"/>
            <w:tcBorders>
              <w:top w:val="nil"/>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Pegawai Berdasarkan Tugas dan Fungsi yang Mengikuti Pendidikan dan Pelatihan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Org</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72.500.000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090"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75.000.000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15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1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96.000.000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 Org</w:t>
            </w:r>
          </w:p>
        </w:tc>
        <w:tc>
          <w:tcPr>
            <w:tcW w:w="1077"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96.000.000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5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Bimbingan Teknis Implementasi Peraturan Perundang-Undangan</w:t>
            </w:r>
          </w:p>
        </w:tc>
        <w:tc>
          <w:tcPr>
            <w:tcW w:w="874" w:type="dxa"/>
            <w:tcBorders>
              <w:top w:val="single" w:color="auto" w:sz="4" w:space="0"/>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Orang yang Mengikuti Bimbingan Teknis Implementasi Peraturan Perundang-Undangan</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Org</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22.000.000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29.200.000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Org</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72"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06</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Administrasi Umum Perangkat Daeah</w:t>
            </w:r>
          </w:p>
        </w:tc>
        <w:tc>
          <w:tcPr>
            <w:tcW w:w="874" w:type="dxa"/>
            <w:tcBorders>
              <w:top w:val="nil"/>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Kelancaran Administras dan Operasional Perkantoran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635.200.000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652.500.000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678.200.000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706.900.000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741.500.000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741.500.000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850"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Peralatan dan Perlengkapan Kantor</w:t>
            </w:r>
          </w:p>
        </w:tc>
        <w:tc>
          <w:tcPr>
            <w:tcW w:w="874" w:type="dxa"/>
            <w:tcBorders>
              <w:top w:val="nil"/>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Paket Peralatan dan Perlengkapan Kantor yang Disediakan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090"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195.000.000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15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08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211.000.000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173"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1077"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215.000.000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83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Barang Cetakan dan Penggandaan</w:t>
            </w:r>
          </w:p>
        </w:tc>
        <w:tc>
          <w:tcPr>
            <w:tcW w:w="874" w:type="dxa"/>
            <w:tcBorders>
              <w:top w:val="nil"/>
              <w:left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paket Barang Cetakan dan Penggandaan yang Disediakan</w:t>
            </w:r>
          </w:p>
        </w:tc>
        <w:tc>
          <w:tcPr>
            <w:tcW w:w="548" w:type="dxa"/>
            <w:tcBorders>
              <w:top w:val="nil"/>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 Paket</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75 Paket</w:t>
            </w:r>
          </w:p>
        </w:tc>
        <w:tc>
          <w:tcPr>
            <w:tcW w:w="1121"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83 Paket </w:t>
            </w:r>
          </w:p>
        </w:tc>
        <w:tc>
          <w:tcPr>
            <w:tcW w:w="1090"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63.000.000 </w:t>
            </w:r>
          </w:p>
        </w:tc>
        <w:tc>
          <w:tcPr>
            <w:tcW w:w="442"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87 Paket</w:t>
            </w:r>
          </w:p>
        </w:tc>
        <w:tc>
          <w:tcPr>
            <w:tcW w:w="1152"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 Paket</w:t>
            </w:r>
          </w:p>
        </w:tc>
        <w:tc>
          <w:tcPr>
            <w:tcW w:w="1083"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72.000.000 </w:t>
            </w:r>
          </w:p>
        </w:tc>
        <w:tc>
          <w:tcPr>
            <w:tcW w:w="495"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94 paket</w:t>
            </w:r>
          </w:p>
        </w:tc>
        <w:tc>
          <w:tcPr>
            <w:tcW w:w="1173"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75.000.000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94 paket</w:t>
            </w:r>
          </w:p>
        </w:tc>
        <w:tc>
          <w:tcPr>
            <w:tcW w:w="1077"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75.000.000 </w:t>
            </w:r>
          </w:p>
        </w:tc>
        <w:tc>
          <w:tcPr>
            <w:tcW w:w="332"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492" w:hRule="atLeast"/>
        </w:trPr>
        <w:tc>
          <w:tcPr>
            <w:tcW w:w="366" w:type="dxa"/>
            <w:tcBorders>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833" w:type="dxa"/>
            <w:tcBorders>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Bahan Bacaan dan Peraturan Perundang-undangan</w:t>
            </w:r>
          </w:p>
        </w:tc>
        <w:tc>
          <w:tcPr>
            <w:tcW w:w="874" w:type="dxa"/>
            <w:tcBorders>
              <w:left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Bahan Bacaan dan Peraturan Perundang-Undangan yang Disediakan</w:t>
            </w:r>
          </w:p>
        </w:tc>
        <w:tc>
          <w:tcPr>
            <w:tcW w:w="548" w:type="dxa"/>
            <w:tcBorders>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Dokumen </w:t>
            </w:r>
          </w:p>
        </w:tc>
        <w:tc>
          <w:tcPr>
            <w:tcW w:w="523"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121"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5.200.000 </w:t>
            </w:r>
          </w:p>
        </w:tc>
        <w:tc>
          <w:tcPr>
            <w:tcW w:w="523"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090"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7.500.000 </w:t>
            </w:r>
          </w:p>
        </w:tc>
        <w:tc>
          <w:tcPr>
            <w:tcW w:w="442"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152"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 </w:t>
            </w:r>
          </w:p>
        </w:tc>
        <w:tc>
          <w:tcPr>
            <w:tcW w:w="523"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083"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495"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173"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14.500.000 </w:t>
            </w:r>
          </w:p>
        </w:tc>
        <w:tc>
          <w:tcPr>
            <w:tcW w:w="523"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3 Dokumen </w:t>
            </w:r>
          </w:p>
        </w:tc>
        <w:tc>
          <w:tcPr>
            <w:tcW w:w="1077"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14.500.000 </w:t>
            </w:r>
          </w:p>
        </w:tc>
        <w:tc>
          <w:tcPr>
            <w:tcW w:w="332"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982"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Kunjungan Tamu</w:t>
            </w:r>
          </w:p>
        </w:tc>
        <w:tc>
          <w:tcPr>
            <w:tcW w:w="874" w:type="dxa"/>
            <w:tcBorders>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Fasilitasi Kunjungan Tamu</w:t>
            </w:r>
          </w:p>
        </w:tc>
        <w:tc>
          <w:tcPr>
            <w:tcW w:w="548"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500 Laporan</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500 Laporan</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30.000.000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500 Laporan</w:t>
            </w:r>
          </w:p>
        </w:tc>
        <w:tc>
          <w:tcPr>
            <w:tcW w:w="1090"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32.000.000 </w:t>
            </w:r>
          </w:p>
        </w:tc>
        <w:tc>
          <w:tcPr>
            <w:tcW w:w="44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500 Laporan</w:t>
            </w:r>
          </w:p>
        </w:tc>
        <w:tc>
          <w:tcPr>
            <w:tcW w:w="1152"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34.700.000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510 Laporan</w:t>
            </w:r>
          </w:p>
        </w:tc>
        <w:tc>
          <w:tcPr>
            <w:tcW w:w="1083"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37.000.000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510 Laporan</w:t>
            </w:r>
          </w:p>
        </w:tc>
        <w:tc>
          <w:tcPr>
            <w:tcW w:w="1173"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510 Laporan</w:t>
            </w:r>
          </w:p>
        </w:tc>
        <w:tc>
          <w:tcPr>
            <w:tcW w:w="1077"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332"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5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Penyelenggaraan Rapat Koordinasi dan Konsultasi SKPD</w:t>
            </w:r>
          </w:p>
        </w:tc>
        <w:tc>
          <w:tcPr>
            <w:tcW w:w="874" w:type="dxa"/>
            <w:tcBorders>
              <w:top w:val="single" w:color="auto" w:sz="4" w:space="0"/>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Penyelenggaraan Rapat Koordinasi dan Konsultasi SKPD</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272 Laporan</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272 Laporan</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272 Laporan</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355.000.000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272 Laporan</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365.500.000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282 Laporan</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375.900.000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282 Laporan</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397.000.000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282 Laporan</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397.000.000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6"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07</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Pengadaan Barang Milik Daerah Penunjang Urusan Pemerintah Daerah</w:t>
            </w:r>
          </w:p>
        </w:tc>
        <w:tc>
          <w:tcPr>
            <w:tcW w:w="874" w:type="dxa"/>
            <w:tcBorders>
              <w:top w:val="nil"/>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Kelancaran Administrasi, Keuangan dan Operasional Perkantoran</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415.449.700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423.000.000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434.000.000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450.000.000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467.000.000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467.000.000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1"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Kendaraan Perorangan Dinas atau Kendaraan Dinas Jabatan</w:t>
            </w:r>
          </w:p>
        </w:tc>
        <w:tc>
          <w:tcPr>
            <w:tcW w:w="874" w:type="dxa"/>
            <w:tcBorders>
              <w:top w:val="single" w:color="auto" w:sz="4" w:space="0"/>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Kendaraan Perorangan Dinas atau Kendaraan Dinas Jabatan yang Disediakan</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2 Unit </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Mebel</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Paket Mebel yang Disediakan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139.449.700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141.000.000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145.000.000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155.000.000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110"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434"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Peralatan dan Mesin Lainnya</w:t>
            </w:r>
          </w:p>
        </w:tc>
        <w:tc>
          <w:tcPr>
            <w:tcW w:w="874" w:type="dxa"/>
            <w:tcBorders>
              <w:top w:val="nil"/>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Peralatan dan Mesin Lainnya yang Disediakan</w:t>
            </w:r>
          </w:p>
        </w:tc>
        <w:tc>
          <w:tcPr>
            <w:tcW w:w="548"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523" w:type="dxa"/>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xml:space="preserve">7 Unit </w:t>
            </w:r>
          </w:p>
        </w:tc>
        <w:tc>
          <w:tcPr>
            <w:tcW w:w="1121"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90"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103.000.000 </w:t>
            </w:r>
          </w:p>
        </w:tc>
        <w:tc>
          <w:tcPr>
            <w:tcW w:w="442"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152"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105.000.000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83"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110.000.000 </w:t>
            </w:r>
          </w:p>
        </w:tc>
        <w:tc>
          <w:tcPr>
            <w:tcW w:w="495"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173"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115.000.000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Unit</w:t>
            </w:r>
          </w:p>
        </w:tc>
        <w:tc>
          <w:tcPr>
            <w:tcW w:w="1077"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115.000.000 </w:t>
            </w:r>
          </w:p>
        </w:tc>
        <w:tc>
          <w:tcPr>
            <w:tcW w:w="332"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859"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833" w:type="dxa"/>
            <w:tcBorders>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Gedung Kantor atau Bangunan Lainnya</w:t>
            </w:r>
          </w:p>
        </w:tc>
        <w:tc>
          <w:tcPr>
            <w:tcW w:w="874" w:type="dxa"/>
            <w:tcBorders>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Gedung Kantor atau Bangunan Lainnya yang Disediakan</w:t>
            </w:r>
          </w:p>
        </w:tc>
        <w:tc>
          <w:tcPr>
            <w:tcW w:w="548"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523" w:type="dxa"/>
            <w:tcBorders>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 unit</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113.000.000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90"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115.000.000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52"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118.000.000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8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122.000.000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7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125.000.000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77"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125.000.000 </w:t>
            </w:r>
          </w:p>
        </w:tc>
        <w:tc>
          <w:tcPr>
            <w:tcW w:w="332"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48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Pengadaan Sarana dan Prasarana Pendukung Gedung Kantor atau Bangunan Lainnya</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Sarana dan Prasarana Pendukung Gedung Kantor atau Bangunan Lainnya yang Disediakan</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523" w:type="dxa"/>
            <w:tcBorders>
              <w:top w:val="single" w:color="000000"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2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9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24.000.000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52"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8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28.000.000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7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32.000.000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7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32.000.000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051"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10</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Penatausahaan Arsip Dinamis pada SKPD</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Penatausahaan Arsip Dinamis pada SKPD</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59"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Dukungan Pelaksanaan Sistem Pemerintahan Berbasis Elektronik pada SKPD</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Dukungan Pelaksanaan Sistem Pemerintahan Berbasis Elektronik pada SKPD</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Dokumen</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65"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08</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Penyediaan Jasa Penunjang Urusan Pemerintahan Daerah</w:t>
            </w:r>
          </w:p>
        </w:tc>
        <w:tc>
          <w:tcPr>
            <w:tcW w:w="8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Kelancaran Administrasi dan Operasional Perkantoran</w:t>
            </w:r>
          </w:p>
        </w:tc>
        <w:tc>
          <w:tcPr>
            <w:tcW w:w="548"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557.700.000 </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568.000.000 </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593.300.000 </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607.000.000 </w:t>
            </w: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622.570.000 </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622.570.000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110"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434"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Jasa Surat Menyurat</w:t>
            </w:r>
          </w:p>
        </w:tc>
        <w:tc>
          <w:tcPr>
            <w:tcW w:w="874" w:type="dxa"/>
            <w:tcBorders>
              <w:top w:val="nil"/>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Penyediaan Jasa Surat Menyurat</w:t>
            </w:r>
          </w:p>
        </w:tc>
        <w:tc>
          <w:tcPr>
            <w:tcW w:w="548"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523"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121"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4.500.000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090"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 </w:t>
            </w:r>
          </w:p>
        </w:tc>
        <w:tc>
          <w:tcPr>
            <w:tcW w:w="442"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152"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7.500.000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08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495"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17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Laporan</w:t>
            </w:r>
          </w:p>
        </w:tc>
        <w:tc>
          <w:tcPr>
            <w:tcW w:w="1077"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473"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Jasa Komunikasi, Sumber Daya Air dan Listrik</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Penyediaan Jasa Komunikasi, Sumber Daya Air dan Listrik yang Disediakan</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121"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79.200.000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84.500.000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86.100.000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88.000.000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95.000.000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Laporan</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95.000.000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3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bottom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bottom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434" w:type="dxa"/>
            <w:tcBorders>
              <w:top w:val="single" w:color="auto" w:sz="4" w:space="0"/>
              <w:left w:val="nil"/>
              <w:bottom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Jasa Pelayanan Umum Kantor</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Penyediaan Jasa Pelayanan Umum Kantor yang Disediakan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474.000.000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477.500.000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499.700.000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508.000.000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512.570.000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 Laporan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512.570.000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220"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31</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09</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Pemeliharaan Barang Milik Daerah Penunjang Urusan Pemerintahan Daerah</w:t>
            </w:r>
          </w:p>
        </w:tc>
        <w:tc>
          <w:tcPr>
            <w:tcW w:w="874" w:type="dxa"/>
            <w:tcBorders>
              <w:top w:val="nil"/>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xml:space="preserve">Persentase kelancaran administrasi barang milik daerah </w:t>
            </w:r>
          </w:p>
        </w:tc>
        <w:tc>
          <w:tcPr>
            <w:tcW w:w="548"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115.100.300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120.038.881 </w:t>
            </w:r>
          </w:p>
        </w:tc>
        <w:tc>
          <w:tcPr>
            <w:tcW w:w="442"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135.614.365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144.308.588 </w:t>
            </w:r>
          </w:p>
        </w:tc>
        <w:tc>
          <w:tcPr>
            <w:tcW w:w="495"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157.805.706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157.805.706 </w:t>
            </w:r>
          </w:p>
        </w:tc>
        <w:tc>
          <w:tcPr>
            <w:tcW w:w="332" w:type="dxa"/>
            <w:tcBorders>
              <w:top w:val="nil"/>
              <w:left w:val="nil"/>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Benteng</w:t>
            </w:r>
          </w:p>
        </w:tc>
      </w:tr>
      <w:tr>
        <w:tblPrEx>
          <w:tblCellMar>
            <w:top w:w="0" w:type="dxa"/>
            <w:left w:w="108" w:type="dxa"/>
            <w:bottom w:w="0" w:type="dxa"/>
            <w:right w:w="108" w:type="dxa"/>
          </w:tblCellMar>
        </w:tblPrEx>
        <w:trPr>
          <w:trHeight w:val="1963" w:hRule="atLeast"/>
        </w:trPr>
        <w:tc>
          <w:tcPr>
            <w:tcW w:w="366" w:type="dxa"/>
            <w:tcBorders>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Jasa Pemeliharaan, Biaya Pemeliharaan dan Pajak Kendaraan Perorangan Dinas atau Kendaraan Dinas Jabatan</w:t>
            </w:r>
          </w:p>
        </w:tc>
        <w:tc>
          <w:tcPr>
            <w:tcW w:w="874" w:type="dxa"/>
            <w:tcBorders>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Kendaraan Perorangan Dinas atau Kendaraan Dinas Jabatan yang Dipelihara dan dibayarkan Pajaknya</w:t>
            </w:r>
          </w:p>
        </w:tc>
        <w:tc>
          <w:tcPr>
            <w:tcW w:w="548"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523"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21"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58.300.000 </w:t>
            </w:r>
          </w:p>
        </w:tc>
        <w:tc>
          <w:tcPr>
            <w:tcW w:w="523"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90"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59.200.000 </w:t>
            </w:r>
          </w:p>
        </w:tc>
        <w:tc>
          <w:tcPr>
            <w:tcW w:w="442"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52"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64.800.000 </w:t>
            </w:r>
          </w:p>
        </w:tc>
        <w:tc>
          <w:tcPr>
            <w:tcW w:w="523"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83"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68.600.000 </w:t>
            </w:r>
          </w:p>
        </w:tc>
        <w:tc>
          <w:tcPr>
            <w:tcW w:w="495"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73"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72.930.000 </w:t>
            </w:r>
          </w:p>
        </w:tc>
        <w:tc>
          <w:tcPr>
            <w:tcW w:w="523"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77"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72.930.000 </w:t>
            </w:r>
          </w:p>
        </w:tc>
        <w:tc>
          <w:tcPr>
            <w:tcW w:w="332" w:type="dxa"/>
            <w:tcBorders>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841"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Jasa Pemeliharaan, Biaya Pemeliharaan, Pajak, dan Perizinan Kendaraan Dinas Operasional atau Lapangan</w:t>
            </w:r>
          </w:p>
        </w:tc>
        <w:tc>
          <w:tcPr>
            <w:tcW w:w="874" w:type="dxa"/>
            <w:tcBorders>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Kendaraan Dinas Operasional atau Lapangan yang Dipelihara dan dibayarkan Pajak dan Perizinannya</w:t>
            </w:r>
          </w:p>
        </w:tc>
        <w:tc>
          <w:tcPr>
            <w:tcW w:w="548"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523"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73"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Pemeliharaan Peralatan dan Mesin Lainnya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Peralatan dan Mesin Lainnya yang Dipelihara</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16.500.000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20.514.000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22.000.000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 Unit</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888"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833" w:type="dxa"/>
            <w:tcBorders>
              <w:top w:val="single" w:color="auto" w:sz="4" w:space="0"/>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Pemeliharaan Aset Tetap Lainnya</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Aset Tetap Lainnya yang Dipelihara</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21"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8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7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77"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579"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08</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Pemeliharaan Aset Tak Berwujud</w:t>
            </w:r>
          </w:p>
        </w:tc>
        <w:tc>
          <w:tcPr>
            <w:tcW w:w="874" w:type="dxa"/>
            <w:tcBorders>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Aset Tak berwujud yang Dipelihara</w:t>
            </w:r>
          </w:p>
        </w:tc>
        <w:tc>
          <w:tcPr>
            <w:tcW w:w="548"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523"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72"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Pemeliharaan/Rehabilitasi Gedung Kantor dan Bangunan Lainnya</w:t>
            </w:r>
          </w:p>
        </w:tc>
        <w:tc>
          <w:tcPr>
            <w:tcW w:w="874" w:type="dxa"/>
            <w:tcBorders>
              <w:top w:val="nil"/>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Gedung Kantor dan Bangunan Lainnya yang Dipelihara/Direhabilitasi</w:t>
            </w:r>
          </w:p>
        </w:tc>
        <w:tc>
          <w:tcPr>
            <w:tcW w:w="548"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41.800.300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44.338.881 </w:t>
            </w:r>
          </w:p>
        </w:tc>
        <w:tc>
          <w:tcPr>
            <w:tcW w:w="442"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50.300.365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53.708.588 </w:t>
            </w:r>
          </w:p>
        </w:tc>
        <w:tc>
          <w:tcPr>
            <w:tcW w:w="495"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59.875.706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59.875.706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464"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31</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09</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11</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Pemeliharaan/Rehabilitasi Sarana dan Prasarana Pendukung Gedung Kantor atau Bangunan Lainnya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Sarana dan Prasarana Gedung Kantor atau Bangunan Lainnya yang Dipelihara/Direhabilitasi</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Unit</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86"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717"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Meningkatkan kemandirian Pelaku usaha</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Meningkatnya kualitas kelembagaan, produktivitas dan daya saing serta kemandirian pelaku usaha</w:t>
            </w:r>
          </w:p>
        </w:tc>
        <w:tc>
          <w:tcPr>
            <w:tcW w:w="800"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Pertumbuhan Ekonomi sektor perdagangan, perindustrian dan KUKM</w:t>
            </w:r>
          </w:p>
        </w:tc>
        <w:tc>
          <w:tcPr>
            <w:tcW w:w="384" w:type="dxa"/>
            <w:tcBorders>
              <w:top w:val="single" w:color="auto" w:sz="4" w:space="0"/>
              <w:left w:val="nil"/>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single" w:color="000000" w:sz="4" w:space="0"/>
              <w:bottom w:val="nil"/>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10,74</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12,61</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13,50</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14,00</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nil"/>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15,50</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16,00</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444"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nil"/>
            </w:tcBorders>
            <w:shd w:val="clear" w:color="auto" w:fill="auto"/>
            <w:noWrap/>
          </w:tcPr>
          <w:p>
            <w:pPr>
              <w:spacing w:after="0" w:line="240" w:lineRule="auto"/>
              <w:rPr>
                <w:rFonts w:ascii="Arial Narrow" w:hAnsi="Arial Narrow" w:eastAsia="Times New Roman" w:cs="Calibri"/>
                <w:color w:val="000000"/>
                <w:sz w:val="12"/>
                <w:szCs w:val="12"/>
              </w:rPr>
            </w:pPr>
          </w:p>
        </w:tc>
        <w:tc>
          <w:tcPr>
            <w:tcW w:w="80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Persentase koperasi aktif</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000000" w:sz="4" w:space="0"/>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82,42</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85,5</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88,00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91,50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94,00</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96,00</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96,00</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Persentase UKM non BPR/LKM aktif</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44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Persentase BPR/LKM aktif</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Usaha Mikro dan Kecil</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Usaha mikro menjadi wirausaha</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523" w:type="dxa"/>
            <w:tcBorders>
              <w:top w:val="nil"/>
              <w:left w:val="nil"/>
              <w:bottom w:val="nil"/>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single" w:color="000000"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nil"/>
              <w:left w:val="single" w:color="000000"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single" w:color="000000"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nil"/>
              <w:left w:val="single" w:color="000000"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single" w:color="000000"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3.331 UMK</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73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Koperasi yang Diberdayakan dan mendapatkan perlindungan</w:t>
            </w:r>
          </w:p>
        </w:tc>
        <w:tc>
          <w:tcPr>
            <w:tcW w:w="384" w:type="dxa"/>
            <w:tcBorders>
              <w:top w:val="nil"/>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21"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90"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104"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04</w:t>
            </w:r>
          </w:p>
        </w:tc>
        <w:tc>
          <w:tcPr>
            <w:tcW w:w="333"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Penilaian Kesehatan KSP/USP Koperasi (1)</w:t>
            </w:r>
          </w:p>
        </w:tc>
        <w:tc>
          <w:tcPr>
            <w:tcW w:w="874" w:type="dxa"/>
            <w:tcBorders>
              <w:left w:val="single" w:color="000000" w:sz="4" w:space="0"/>
              <w:bottom w:val="single" w:color="auto"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Koperasi KSP/USP yang sehat</w:t>
            </w:r>
          </w:p>
        </w:tc>
        <w:tc>
          <w:tcPr>
            <w:tcW w:w="548"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523" w:type="dxa"/>
            <w:tcBorders>
              <w:left w:val="single" w:color="auto" w:sz="4" w:space="0"/>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21" w:type="dxa"/>
            <w:tcBorders>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125.000.000 </w:t>
            </w:r>
          </w:p>
        </w:tc>
        <w:tc>
          <w:tcPr>
            <w:tcW w:w="523"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90" w:type="dxa"/>
            <w:tcBorders>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126.711.250 </w:t>
            </w:r>
          </w:p>
        </w:tc>
        <w:tc>
          <w:tcPr>
            <w:tcW w:w="442"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52" w:type="dxa"/>
            <w:tcBorders>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129.882.833 </w:t>
            </w:r>
          </w:p>
        </w:tc>
        <w:tc>
          <w:tcPr>
            <w:tcW w:w="523"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83" w:type="dxa"/>
            <w:tcBorders>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132.998.722 </w:t>
            </w:r>
          </w:p>
        </w:tc>
        <w:tc>
          <w:tcPr>
            <w:tcW w:w="495"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73" w:type="dxa"/>
            <w:tcBorders>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136.172.071 </w:t>
            </w:r>
          </w:p>
        </w:tc>
        <w:tc>
          <w:tcPr>
            <w:tcW w:w="523" w:type="dxa"/>
            <w:tcBorders>
              <w:left w:val="nil"/>
              <w:bottom w:val="single" w:color="auto" w:sz="4" w:space="0"/>
              <w:right w:val="nil"/>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77" w:type="dxa"/>
            <w:tcBorders>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136.172.071 </w:t>
            </w:r>
          </w:p>
        </w:tc>
        <w:tc>
          <w:tcPr>
            <w:tcW w:w="332" w:type="dxa"/>
            <w:tcBorders>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325"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04</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Penilaian Kesehatan Koperasi Simpan Pinjam/Unit Simpan Pinjam Koperasi yang Wilayah Keanggotaannya dalam 1 (satu) Daerah Kabupaten/Kota</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yang Sehat organisasi, Sehat Usaha dan Sehat Administrasi</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125.000.000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126.711.250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129.882.833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132.998.722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136.172.071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 Koperasi</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136.172.071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340"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04</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Pelaksanaan Penilaian Kesehatan KSP/USP Koperasi Kewenangan Kabupaten/Kota</w:t>
            </w:r>
          </w:p>
        </w:tc>
        <w:tc>
          <w:tcPr>
            <w:tcW w:w="874" w:type="dxa"/>
            <w:tcBorders>
              <w:top w:val="single" w:color="auto" w:sz="4" w:space="0"/>
              <w:left w:val="nil"/>
              <w:bottom w:val="single" w:color="000000" w:sz="4" w:space="0"/>
              <w:right w:val="single" w:color="000000"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xml:space="preserve">                                                                                                                                                                                                                                                                                                                                                                                                                                               </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36.000.000 </w:t>
            </w:r>
          </w:p>
        </w:tc>
        <w:tc>
          <w:tcPr>
            <w:tcW w:w="442"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37.000.000 </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39.000.000 </w:t>
            </w:r>
          </w:p>
        </w:tc>
        <w:tc>
          <w:tcPr>
            <w:tcW w:w="495"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2 Unit Usaha </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418"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04</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Penghargaan Kesehatan KSP/USP Koperasi Kewenangan Kabupaten/Kota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Koperasi yang Mendapatkan Penghargaan Kesehatan</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90.711.250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92.882.833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93.998.722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96.172.071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96.172.071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Benteng</w:t>
            </w:r>
          </w:p>
        </w:tc>
      </w:tr>
      <w:tr>
        <w:tblPrEx>
          <w:tblCellMar>
            <w:top w:w="0" w:type="dxa"/>
            <w:left w:w="108" w:type="dxa"/>
            <w:bottom w:w="0" w:type="dxa"/>
            <w:right w:w="108" w:type="dxa"/>
          </w:tblCellMar>
        </w:tblPrEx>
        <w:trPr>
          <w:trHeight w:val="1104"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06</w:t>
            </w:r>
          </w:p>
        </w:tc>
        <w:tc>
          <w:tcPr>
            <w:tcW w:w="333"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Pemberdayaan dan Perlindungan Koperasi (2)</w:t>
            </w:r>
          </w:p>
        </w:tc>
        <w:tc>
          <w:tcPr>
            <w:tcW w:w="874" w:type="dxa"/>
            <w:tcBorders>
              <w:top w:val="single" w:color="auto" w:sz="4" w:space="0"/>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Koperasi yang Diberdayakan dan mendapatkan perlindungan(%)</w:t>
            </w:r>
          </w:p>
        </w:tc>
        <w:tc>
          <w:tcPr>
            <w:tcW w:w="548"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52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21"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185.000.000 </w:t>
            </w:r>
          </w:p>
        </w:tc>
        <w:tc>
          <w:tcPr>
            <w:tcW w:w="52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90"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187.532.650 </w:t>
            </w:r>
          </w:p>
        </w:tc>
        <w:tc>
          <w:tcPr>
            <w:tcW w:w="442"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52"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192.226.592 </w:t>
            </w:r>
          </w:p>
        </w:tc>
        <w:tc>
          <w:tcPr>
            <w:tcW w:w="52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8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196.838.108 </w:t>
            </w:r>
          </w:p>
        </w:tc>
        <w:tc>
          <w:tcPr>
            <w:tcW w:w="495"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7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201.534.665 </w:t>
            </w:r>
          </w:p>
        </w:tc>
        <w:tc>
          <w:tcPr>
            <w:tcW w:w="523"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77"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201.534.665 </w:t>
            </w:r>
          </w:p>
        </w:tc>
        <w:tc>
          <w:tcPr>
            <w:tcW w:w="332"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61"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06</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Pemberdayaan dan Perlindungan Koperasi yang Keanggotaannya dalam Daerah Kabupaten/Kota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Sehat</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187.532.650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192.226.592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196.838.108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201.534.665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 Koperasi</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201.534.665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305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06</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nil"/>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Pemberdayaan Peningkatan Produktivitas, Nilai Tambah, Akses Pasar, Akses Pembiayaan, Penguatan Kelembagaan, Penataan Manajemen, Standarisasi, dan Restrukturisasi Usaha Koperasi Kewenangan Kabupaten/Kota</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SDM yang Memahami Pengetahuan UKM dan Kewirausahaan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185.000.000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187.532.650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192.226.592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196.838.108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201.534.665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Org</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201.534.665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18"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07</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Pemberdayaan Usaha Menengah, Usaha Kecil dan Usaha Mikro (UMKM) (2)</w:t>
            </w:r>
          </w:p>
        </w:tc>
        <w:tc>
          <w:tcPr>
            <w:tcW w:w="874" w:type="dxa"/>
            <w:tcBorders>
              <w:top w:val="nil"/>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UMKM yang Diberdayakan</w:t>
            </w:r>
          </w:p>
        </w:tc>
        <w:tc>
          <w:tcPr>
            <w:tcW w:w="548"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370.000.000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368.214.000 </w:t>
            </w:r>
          </w:p>
        </w:tc>
        <w:tc>
          <w:tcPr>
            <w:tcW w:w="442"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378.187.296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386.897.660 </w:t>
            </w:r>
          </w:p>
        </w:tc>
        <w:tc>
          <w:tcPr>
            <w:tcW w:w="495"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395.879.298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395.879.298 </w:t>
            </w:r>
          </w:p>
        </w:tc>
        <w:tc>
          <w:tcPr>
            <w:tcW w:w="332" w:type="dxa"/>
            <w:tcBorders>
              <w:top w:val="nil"/>
              <w:left w:val="nil"/>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56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07</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xml:space="preserve">Pemberdayaan Usaha Mikro yang dilakukan melalui Pendataan, Kemitraan, kemudahan Perizinan, Penguatan kelembagaan dan Koordinasi dengan Para Pemangku Kepentingan </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UMKM yang naik kelas</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370.000.000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368.214.000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378.187.296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386.897.660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395.879.298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UMKM</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395.879.298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19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Pendataan Potensi dan Pengembangan Usaha Mikro</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Jumlah Unit Usaha yang Produktif, Bernilai Tambah, Memiliki Akses Pasar, Akses Pembiayaan, Penguatan Kelembagaan, Penataan Manajemen, Standarisasi, dan Restrukturisasi Usaha Koperasi Kewenangan Kabupaten/Kota </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98.214.000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101.187.296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102.897.660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105.879.298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105.879.298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7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Pemberdayaan melalui Kemitraan Usaha Mikro</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Usaha yang Telah Melaksanakan Kemitraan Usaha Mikro</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152.000.000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156.000.000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159.000.000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159.000.000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72"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04</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Pemberdayaan Kelembagaan Potensi dan Pengembangan Usaha Mikro</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Usaha yang Telah Menerima Pembinaan dan Pendampingan Terhadap Usaha Mikro</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125.000.000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128.000.000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131.000.000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 Unit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131.000.000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80"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08</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Pengembangan UMKM (1)</w:t>
            </w:r>
          </w:p>
        </w:tc>
        <w:tc>
          <w:tcPr>
            <w:tcW w:w="874" w:type="dxa"/>
            <w:tcBorders>
              <w:top w:val="single" w:color="auto" w:sz="4" w:space="0"/>
              <w:left w:val="single" w:color="000000" w:sz="4" w:space="0"/>
              <w:bottom w:val="single" w:color="auto"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UMKM yang ditingkatkan kapasitasnya (%)</w:t>
            </w:r>
          </w:p>
        </w:tc>
        <w:tc>
          <w:tcPr>
            <w:tcW w:w="548" w:type="dxa"/>
            <w:tcBorders>
              <w:top w:val="single" w:color="auto" w:sz="4" w:space="0"/>
              <w:left w:val="nil"/>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237.500.000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240.751.375 </w:t>
            </w:r>
          </w:p>
        </w:tc>
        <w:tc>
          <w:tcPr>
            <w:tcW w:w="442"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246.777.382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252.697.571 </w:t>
            </w:r>
          </w:p>
        </w:tc>
        <w:tc>
          <w:tcPr>
            <w:tcW w:w="495"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258.726.936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258.726.936 </w:t>
            </w:r>
          </w:p>
        </w:tc>
        <w:tc>
          <w:tcPr>
            <w:tcW w:w="332" w:type="dxa"/>
            <w:tcBorders>
              <w:top w:val="single" w:color="auto" w:sz="4" w:space="0"/>
              <w:left w:val="nil"/>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572"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08</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Pengembangan Usaha Mikro dengan Orientasi Peningkatan Skala Usaha menjadi Usaha Kecil</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UMKM yang Naik kelas dari Usaha Mikro menjadi Usaha Kecil melalui Pusat layanan usaha Terpadu (PLUT)</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121"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237.500.000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240.751.375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246.777.382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08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252.697.571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17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258.726.936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Usaha Mikro</w:t>
            </w:r>
          </w:p>
        </w:tc>
        <w:tc>
          <w:tcPr>
            <w:tcW w:w="1077"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258.726.936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964"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08</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Usaha Mikro menjadi usaha Kecil dalam Pengembangan Produksi dan Pengolahan, Pemasaran, SDM serta Desain dan Teknologi</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Usaha Mikro yang Terfasilitasi dalam Pengembangan Produksi dan Pengolahan, Pemasaran, SDM, serta Desain dan Teknologi</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237.500.000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240.751.375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246.777.382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252.697.571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258.726.936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258.726.936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1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Stabilisasi Harga Barang Kebutuhan Pokok dan barang Penting (1)</w:t>
            </w:r>
          </w:p>
        </w:tc>
        <w:tc>
          <w:tcPr>
            <w:tcW w:w="874" w:type="dxa"/>
            <w:tcBorders>
              <w:top w:val="single" w:color="auto" w:sz="4" w:space="0"/>
              <w:left w:val="single" w:color="000000" w:sz="4" w:space="0"/>
              <w:bottom w:val="single" w:color="000000"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jenis komoditi yang dipantau (%)</w:t>
            </w:r>
          </w:p>
        </w:tc>
        <w:tc>
          <w:tcPr>
            <w:tcW w:w="548" w:type="dxa"/>
            <w:tcBorders>
              <w:top w:val="single" w:color="auto"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150.000.000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151.000.000 </w:t>
            </w:r>
          </w:p>
        </w:tc>
        <w:tc>
          <w:tcPr>
            <w:tcW w:w="442"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154.950.000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157.900.000 </w:t>
            </w:r>
          </w:p>
        </w:tc>
        <w:tc>
          <w:tcPr>
            <w:tcW w:w="495"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161.400.000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161.400.000 </w:t>
            </w:r>
          </w:p>
        </w:tc>
        <w:tc>
          <w:tcPr>
            <w:tcW w:w="33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836"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833"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Menjamin Ketersediaan Barang Kebutuhan Pokok dan Barang Penting di Tingkat Daerah Kabupaten/ Kota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Akses Kebutuhan Pokok yang dipantau</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12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151.000.000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154.950.000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157.900.000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161.400.000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11 Kecamatan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161.400.000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957"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Sinkronisasi Ketersediaan Barang Kebutuhan Pokok dan Barang Penting di Tingkat Agen dan Pasar Rakyat</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Koordinasi dan Sinkronisasi Ketersediaan Barang Kebutuhan Pokok dan Barang Penting di Tingkat Agen dan Pasar rakyat</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50.400.000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51.500.000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52.700.000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53.900.000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53.900.000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077"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833" w:type="dxa"/>
            <w:tcBorders>
              <w:top w:val="single" w:color="auto" w:sz="4" w:space="0"/>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Sinkoronisasi Peningkatan Aksebilitas Barang Kebutuhan Pokok dan Barang Penting di tingkat Agen dan Pasar Rakyat</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Koordinasi dan Sinkronisasi Peningkatan Aksesibilitas Barang Kebutuhan Pokok dan Barang Penting di Tingkat Agen dan Pasar Rakyat</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121"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090"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50.350.000</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152"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51.500.000</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083"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52.700.000</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173"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53.900.000</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 Laporan</w:t>
            </w:r>
          </w:p>
        </w:tc>
        <w:tc>
          <w:tcPr>
            <w:tcW w:w="1077"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53.900.000</w:t>
            </w:r>
          </w:p>
        </w:tc>
        <w:tc>
          <w:tcPr>
            <w:tcW w:w="332" w:type="dxa"/>
            <w:tcBorders>
              <w:top w:val="single" w:color="auto" w:sz="4" w:space="0"/>
              <w:left w:val="nil"/>
              <w:right w:val="nil"/>
            </w:tcBorders>
            <w:shd w:val="clear" w:color="auto" w:fill="auto"/>
            <w:noWrap/>
            <w:vAlign w:val="center"/>
          </w:tcPr>
          <w:p>
            <w:pPr>
              <w:spacing w:after="0" w:line="240" w:lineRule="auto"/>
              <w:jc w:val="right"/>
              <w:rPr>
                <w:rFonts w:ascii="Arial Narrow" w:hAnsi="Arial Narrow" w:eastAsia="Times New Roman" w:cs="Calibri"/>
                <w:color w:val="000000"/>
                <w:sz w:val="12"/>
                <w:szCs w:val="12"/>
              </w:rPr>
            </w:pPr>
          </w:p>
        </w:tc>
        <w:tc>
          <w:tcPr>
            <w:tcW w:w="738" w:type="dxa"/>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885"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Pengendalian Ketersediaan Barang Kebutuhan Pokok dan Barang Penting di Tingkat Agen dan Pasar Rakyat</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Pengendalian Stok atau Ketersediaan Barang Kebutuhan Pokok dan Barang Penting di Tingkat Agen dan Pasar Rakyat</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50.250.000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51.950.000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52.500.000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53.600.000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53.600.000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53"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717"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Meningkatkan kesejahteraan masyarakat pelaku usaha</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Meningkatnya pendapatan masyarakat pelaku usaha</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kontribusi sektor perindustrian terhadap PDRB</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2,88</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2,92</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2,94</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2,96</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2,98</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2,98</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kontribusi sektor perdagangan terhadap PDRB</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78,6</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7,88</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7,9</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7,92</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7,94</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7,96</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7,96</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88"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Pertumbuhan jumlah industri kecil dan menengah</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1227</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1350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1400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1450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Persentase IKM yang berkembang modal usaha dan tenaga kerja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0,67</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0,67</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1,73</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4,48</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11,59</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Persentase IKM yang terdaftar pada Sistem </w:t>
            </w:r>
            <w:r>
              <w:rPr>
                <w:rFonts w:ascii="Arial Narrow" w:hAnsi="Arial Narrow" w:eastAsia="Times New Roman" w:cs="Calibri"/>
                <w:color w:val="000000"/>
                <w:sz w:val="12"/>
                <w:szCs w:val="12"/>
              </w:rPr>
              <w:br w:type="textWrapping"/>
            </w:r>
            <w:r>
              <w:rPr>
                <w:rFonts w:ascii="Arial Narrow" w:hAnsi="Arial Narrow" w:eastAsia="Times New Roman" w:cs="Calibri"/>
                <w:color w:val="000000"/>
                <w:sz w:val="12"/>
                <w:szCs w:val="12"/>
              </w:rPr>
              <w:t>Informasi nasional</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Persentase IKM yang berkembang modal usaha dan tenaga kerja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41"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Stabilisasi Harga Barang Kebutuhan Pokok dan barang Penting (1)</w:t>
            </w:r>
          </w:p>
        </w:tc>
        <w:tc>
          <w:tcPr>
            <w:tcW w:w="874" w:type="dxa"/>
            <w:tcBorders>
              <w:top w:val="single" w:color="auto" w:sz="4" w:space="0"/>
              <w:left w:val="single" w:color="000000" w:sz="4" w:space="0"/>
              <w:bottom w:val="single" w:color="000000"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jenis komoditi yang dipantau (%)</w:t>
            </w:r>
          </w:p>
        </w:tc>
        <w:tc>
          <w:tcPr>
            <w:tcW w:w="548" w:type="dxa"/>
            <w:tcBorders>
              <w:top w:val="single" w:color="auto"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300.000.000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305.160.500 </w:t>
            </w:r>
          </w:p>
        </w:tc>
        <w:tc>
          <w:tcPr>
            <w:tcW w:w="442"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312.628.197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320.895.398 </w:t>
            </w:r>
          </w:p>
        </w:tc>
        <w:tc>
          <w:tcPr>
            <w:tcW w:w="495"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328.819.456 </w:t>
            </w:r>
          </w:p>
        </w:tc>
        <w:tc>
          <w:tcPr>
            <w:tcW w:w="523" w:type="dxa"/>
            <w:tcBorders>
              <w:top w:val="single" w:color="auto"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328.819.456 </w:t>
            </w:r>
          </w:p>
        </w:tc>
        <w:tc>
          <w:tcPr>
            <w:tcW w:w="33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70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Pengendalian Harga dan Stok Barang Kebutuhan Pokok dan Barang Penting di Tingkat Pasar Kabupaten/Kota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barang kebutuhan pokok dan barang penting yang dikendalikan</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265.000.000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269.710.500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275.278.197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281.000.000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285.000.000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Kabupaten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285.000.000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329"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434" w:type="dxa"/>
            <w:tcBorders>
              <w:top w:val="single" w:color="auto" w:sz="4" w:space="0"/>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Pemantauan Harga dan Stok Barang Kebutuhan Pokok dan Barang Penting pada Pelaku Usaha Distribusi Barang dalam 1 (satu) Kabupaten/Kota</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Pemantauan Harga dan Stok Barang Kebutuhan Pokok dan Barang Penting pada Pelaku Usaha Distribusi Barang dalam 1 (Satu) Kabupaten/Kota</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115.000.000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117.000.000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120.828.197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123.900.000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124.100.000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124.100.000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323"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Pemantauan Harga dan Stok Barang Kebutuhan Pokok Penting pada Pasar Rakyat yang Terintegritas dalam Sistem Informasi Perdagangan</w:t>
            </w:r>
          </w:p>
        </w:tc>
        <w:tc>
          <w:tcPr>
            <w:tcW w:w="874" w:type="dxa"/>
            <w:tcBorders>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Pemantauan Harga dan Stok Barang Kebutuhan Pokok dan Barang Penting pada Pasar Rakyat yang Terintegrasi dalam Sistem Informasi Perdagangan</w:t>
            </w:r>
          </w:p>
        </w:tc>
        <w:tc>
          <w:tcPr>
            <w:tcW w:w="548"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102.460.000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103.250.000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104.700.000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106.900.000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106.900.000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839"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43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Pelaksanaan Operasi Pasar Reguler dan Pasar Khusus yang Berdampak dalam 1 (satu) kabupaten/Kota</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Pelaksanaan Operasi Pasar Reguler dan Pasar Khusus yang Berdampak dalam 1 (Satu) kabupaten/Kota</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50.250.500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51.200.000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52.400.000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54.000.000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54.000.000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2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Pengawasan Pupuk dan Pestisida Bersubsidi di Tingkat Daerah Kabupaten/Kota</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jenis pupuk dan pestisida bersubsidi yang diawali penggunaannya</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35.450.000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37.350.000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39.895.398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43.819.456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 Jenis</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43.819.456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24"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Pemeriksaan kelengkapan Legalitas Dokumen Perizinan</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Kelengkapan Legalitas Dokumen Perizinan</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15.150.000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16.500.000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 Dokumen</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19.000.000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1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Pengawasan Pengadaan Pupuk dan Pestisida bersubsidi</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Pengawasan Pengadaan Pupuk dan Pestisida Bersubsudi</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10.100.000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10.350.000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11.895.398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12.819.456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12.819.456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959"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Pengawasan Penyaluran dan Penggunaan Pupuk dan Pestisida Bersubsidi</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Pengawasan Penyaluran dan Penggunaan Pupuk dan Pestisida Bersubsidi dengan Realisasi Minimal 90%</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10.200.000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10.500.000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11.000.000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laporan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12.000.000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091"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Pelayanan Izin Usaha Simpan Pinjam (2)</w:t>
            </w:r>
          </w:p>
        </w:tc>
        <w:tc>
          <w:tcPr>
            <w:tcW w:w="874" w:type="dxa"/>
            <w:tcBorders>
              <w:top w:val="nil"/>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Koperasi yang mendapatkan izin usaha simpan pinjam</w:t>
            </w:r>
          </w:p>
        </w:tc>
        <w:tc>
          <w:tcPr>
            <w:tcW w:w="54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21"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90"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10.000.000 </w:t>
            </w:r>
          </w:p>
        </w:tc>
        <w:tc>
          <w:tcPr>
            <w:tcW w:w="442"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52"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10.250.300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8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10.496.205 </w:t>
            </w:r>
          </w:p>
        </w:tc>
        <w:tc>
          <w:tcPr>
            <w:tcW w:w="495"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7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10.746.644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77"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10.746.644 </w:t>
            </w:r>
          </w:p>
        </w:tc>
        <w:tc>
          <w:tcPr>
            <w:tcW w:w="332" w:type="dxa"/>
            <w:tcBorders>
              <w:top w:val="nil"/>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832"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Penerbitan Izin Usaha Simpan Pinjam untuk Koperasi dengan Wilayah Keanggotaan dalam Daerah Kabupaten/Kota</w:t>
            </w:r>
          </w:p>
        </w:tc>
        <w:tc>
          <w:tcPr>
            <w:tcW w:w="874"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xml:space="preserve">Jumlah koperasi yang mendapatkan izin usaha  </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5.125.150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5.248.103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5.373.322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 Koperasi</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5.373.322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182"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Fasilitasi Pemenuhan Izin Usaha Simpan Pinjam dan Pembukaan Kantor Cabang, Cabang Pembantu dan Kantor Kas Koperasi Simpan Pinjam untuk Koperasi dengan Wilayah Keanggotaan dalam Daerah Kabupaten/Kota</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Usaha Simpan Pinjam dan Pembukaan Kantor Cabang, Cabang Pembantu dan Kantor Kas Koperasi Simpan Pinjam untuk Koperasi  dengan Wilayah Keanggotaannya dalam Daerah Kabupaten/Kota</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5.125.150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5.248.103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5.373.322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5.373.322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550"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Penerbitan Izin Pembukaan Kantor Cabang, Cabang Pembantu dan Kantor Kas Koperasi Simpan Pinjam untuk Koperasi dengan Wilayah Keanggotaan dalam Daerah Kabupaten/Kota</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simpan pinjam yang berRAT</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Koperasi</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Koperasi</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5.125.150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Koperasi</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5.248.102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Koperasi</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5.373.322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 Koperasi</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5.373.322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937"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02</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833" w:type="dxa"/>
            <w:tcBorders>
              <w:top w:val="single" w:color="auto" w:sz="4" w:space="0"/>
              <w:left w:val="nil"/>
              <w:bottom w:val="nil"/>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Fasilitasi Pemenuhan Izin Usaha Pembukaan Kantor Cabang, Cabang Pembantu dan Kantor Kas Koperasi Simpan Pinjam untuk Koperasi dengan Wilayah Keanggotaan dalam Daerah Kabupaten/Kota</w:t>
            </w:r>
          </w:p>
        </w:tc>
        <w:tc>
          <w:tcPr>
            <w:tcW w:w="874"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Kantor Cabang, Cabang Pembantu dan Kantor Kas Koperasi Simpan Pinjam untuk Koperasi dengan Wilayah Keanggotaannya dalam Daerah Kabupaten/Kota</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5.125.150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5.248.102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5.373.322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 Usaha</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5.373.322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r>
      <w:tr>
        <w:tblPrEx>
          <w:tblCellMar>
            <w:top w:w="0" w:type="dxa"/>
            <w:left w:w="108" w:type="dxa"/>
            <w:bottom w:w="0" w:type="dxa"/>
            <w:right w:w="108" w:type="dxa"/>
          </w:tblCellMar>
        </w:tblPrEx>
        <w:trPr>
          <w:trHeight w:val="855"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03</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Pengawasan dan Pemeriksaan Koperasi (2)</w:t>
            </w:r>
          </w:p>
        </w:tc>
        <w:tc>
          <w:tcPr>
            <w:tcW w:w="874" w:type="dxa"/>
            <w:tcBorders>
              <w:top w:val="nil"/>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koperasi sehat</w:t>
            </w:r>
          </w:p>
        </w:tc>
        <w:tc>
          <w:tcPr>
            <w:tcW w:w="54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21"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120.000.000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90"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121.642.800 </w:t>
            </w:r>
          </w:p>
        </w:tc>
        <w:tc>
          <w:tcPr>
            <w:tcW w:w="442"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52"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124.687.519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8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127.678.773 </w:t>
            </w:r>
          </w:p>
        </w:tc>
        <w:tc>
          <w:tcPr>
            <w:tcW w:w="495"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17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130.725.188 </w:t>
            </w:r>
          </w:p>
        </w:tc>
        <w:tc>
          <w:tcPr>
            <w:tcW w:w="523" w:type="dxa"/>
            <w:tcBorders>
              <w:top w:val="nil"/>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100,00</w:t>
            </w:r>
          </w:p>
        </w:tc>
        <w:tc>
          <w:tcPr>
            <w:tcW w:w="1077"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130.725.188 </w:t>
            </w:r>
          </w:p>
        </w:tc>
        <w:tc>
          <w:tcPr>
            <w:tcW w:w="332" w:type="dxa"/>
            <w:tcBorders>
              <w:top w:val="nil"/>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059"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Pemeriksaan dan Pengawasan Koperasi, Koperasi Simpan Pinjam/Unit Simpan Pinjam Koperasi yang Wilayah Keanggotaannya dalam Daerah Kabupaten/ Kota</w:t>
            </w:r>
          </w:p>
        </w:tc>
        <w:tc>
          <w:tcPr>
            <w:tcW w:w="874" w:type="dxa"/>
            <w:tcBorders>
              <w:top w:val="single" w:color="auto" w:sz="4" w:space="0"/>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percontohan</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121.642.800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124.687.519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127.678.773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130.725.188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 Koperasi</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130.725.188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323"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Pengawasan Kekuatan, Kesehatan, Kemandirian, Ketangguhan, serta Akuntabilitas Koperasi Kewenangan Kabupaten/Kota</w:t>
            </w:r>
          </w:p>
        </w:tc>
        <w:tc>
          <w:tcPr>
            <w:tcW w:w="874" w:type="dxa"/>
            <w:tcBorders>
              <w:top w:val="single" w:color="auto" w:sz="4" w:space="0"/>
              <w:left w:val="nil"/>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Koperasi yang telah dilakukan Pengawasan Kekuatan, Kesehatan, Kemandiran, Ketangguhan, serta Akuntabilitas Koperasi Kewenangan Kabupaten/Kota</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70.642.800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72.687.519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73.678.773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 Unit Usaha</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74.725.188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162Unit Usaha</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74.725.188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704"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Pemeriksaan Kepatuhan Koperasi terhadap Peraturan Perundang-Undangan Kewenangan Kabupaten/Kota</w:t>
            </w:r>
          </w:p>
        </w:tc>
        <w:tc>
          <w:tcPr>
            <w:tcW w:w="874" w:type="dxa"/>
            <w:tcBorders>
              <w:top w:val="nil"/>
              <w:left w:val="nil"/>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Koperasi yang Memenuhi Peraturan Perundang-Undangan Kewenanga Kabupaten/Kota Kinerja</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51.000.000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54.000.000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56.000.000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30 Unit Usaha</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56.000.000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5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05</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Pendidikan dan Latihan Perkoperasian (1)</w:t>
            </w:r>
          </w:p>
        </w:tc>
        <w:tc>
          <w:tcPr>
            <w:tcW w:w="874"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Pengurus Koperasi yang mendapatkan pendidikan keterampilan (%)</w:t>
            </w:r>
          </w:p>
        </w:tc>
        <w:tc>
          <w:tcPr>
            <w:tcW w:w="54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85.000.000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86.163.650 </w:t>
            </w:r>
          </w:p>
        </w:tc>
        <w:tc>
          <w:tcPr>
            <w:tcW w:w="44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88.320.326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90.439.131 </w:t>
            </w:r>
          </w:p>
        </w:tc>
        <w:tc>
          <w:tcPr>
            <w:tcW w:w="495"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92.597.009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92.597.009 </w:t>
            </w:r>
          </w:p>
        </w:tc>
        <w:tc>
          <w:tcPr>
            <w:tcW w:w="33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86"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05</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Pendidikan  dan Latihan Perkoperasian bagi Koperasi yang Wilayah Keanggotaannya dalam Daerah Kabupaten/Kota</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yang telah mendapatkan pendidikan dan pelatihan perkoperasian</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Koperasi</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Koperasi</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Koperasi</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86.163.650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35 koperasi</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88.320.326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40 koperasi</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90.439.131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xml:space="preserve">40 koperasi </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92.597.009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xml:space="preserve">40 koperasi </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92.597.009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63"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05</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Peningkatan pemahaman dan pengetahuan perkoperasian serta kapasitas dan kompetensi SDM koperasi</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SDM yang Memahami Pengetahuan Perkoperasian</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 Orang</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86.163.650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88.320.326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90.439.131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92.597.009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 Orang</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92.597.009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57"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08</w:t>
            </w:r>
          </w:p>
        </w:tc>
        <w:tc>
          <w:tcPr>
            <w:tcW w:w="333"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nil"/>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Pengembangan UMKM (1)</w:t>
            </w:r>
          </w:p>
        </w:tc>
        <w:tc>
          <w:tcPr>
            <w:tcW w:w="874" w:type="dxa"/>
            <w:tcBorders>
              <w:top w:val="single" w:color="000000" w:sz="4" w:space="0"/>
              <w:left w:val="single" w:color="000000" w:sz="4" w:space="0"/>
              <w:bottom w:val="single" w:color="000000"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UMKM yang ditingkatkan kapasitasnya (%)</w:t>
            </w:r>
          </w:p>
        </w:tc>
        <w:tc>
          <w:tcPr>
            <w:tcW w:w="548" w:type="dxa"/>
            <w:tcBorders>
              <w:top w:val="single" w:color="000000"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000000" w:sz="4" w:space="0"/>
              <w:left w:val="nil"/>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237.500.000 </w:t>
            </w:r>
          </w:p>
        </w:tc>
        <w:tc>
          <w:tcPr>
            <w:tcW w:w="523" w:type="dxa"/>
            <w:tcBorders>
              <w:top w:val="single" w:color="000000"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240.751.375 </w:t>
            </w:r>
          </w:p>
        </w:tc>
        <w:tc>
          <w:tcPr>
            <w:tcW w:w="442" w:type="dxa"/>
            <w:tcBorders>
              <w:top w:val="single" w:color="000000"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246.777.382 </w:t>
            </w:r>
          </w:p>
        </w:tc>
        <w:tc>
          <w:tcPr>
            <w:tcW w:w="523" w:type="dxa"/>
            <w:tcBorders>
              <w:top w:val="single" w:color="000000"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252.697.572 </w:t>
            </w:r>
          </w:p>
        </w:tc>
        <w:tc>
          <w:tcPr>
            <w:tcW w:w="495" w:type="dxa"/>
            <w:tcBorders>
              <w:top w:val="single" w:color="000000"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258.726.935 </w:t>
            </w:r>
          </w:p>
        </w:tc>
        <w:tc>
          <w:tcPr>
            <w:tcW w:w="523" w:type="dxa"/>
            <w:tcBorders>
              <w:top w:val="single" w:color="000000" w:sz="4" w:space="0"/>
              <w:left w:val="single" w:color="000000" w:sz="4" w:space="0"/>
              <w:bottom w:val="single" w:color="000000"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nil"/>
              <w:left w:val="single" w:color="auto" w:sz="4" w:space="0"/>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258.726.935 </w:t>
            </w:r>
          </w:p>
        </w:tc>
        <w:tc>
          <w:tcPr>
            <w:tcW w:w="332" w:type="dxa"/>
            <w:tcBorders>
              <w:top w:val="nil"/>
              <w:left w:val="nil"/>
              <w:bottom w:val="single" w:color="auto" w:sz="4" w:space="0"/>
              <w:right w:val="single" w:color="auto" w:sz="4" w:space="0"/>
            </w:tcBorders>
            <w:shd w:val="clear" w:color="000000" w:fill="FF0000"/>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225"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08</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Pengembangan Usaha Mikro dengan Orientasi Peningkatan Skala Usaha menjadi Usaha Kecil</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UMKM yang ditingkatkan skala usahanya menjadi usaha kecil</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237.500.000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240.751.375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246.777.382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252.697.572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258.726.935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 UMK</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258.726.935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895"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08</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Usaha Mikro menjadi usaha Kecil dalam Pengembangan Produksi dan Pengolahan, Pemasaran, SDM serta Desain dan Teknologi</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Usaha Mikro yang Terfasilitasi dalam Pengembangan Produksi dan Pengolahan, Pemasaran, SDM, serta Desain dan Teknologi</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237.500.000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240.751.375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246.777.382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252.697.572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258.726.935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37 Unit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258.726.935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059"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(4)</w:t>
            </w:r>
          </w:p>
        </w:tc>
        <w:tc>
          <w:tcPr>
            <w:tcW w:w="717"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Meningkatkan  penguatan pasar daerah guna meningkatkan perdagangan dalam negeri</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Meningkatnya potensi, peningkatan nilai tambah, penguasaan teknologi yang berwawasan lingkungan dan berbasis potensi lokal</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rekomendasi Izin Usaha Sektor Perdagangan yang Diterbitkan</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80</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Persentase kinerja realisasi pupuk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80</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110"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ketersediaan sarana prasarana perdaga</w:t>
            </w:r>
            <w:r>
              <w:rPr>
                <w:rFonts w:ascii="Arial Narrow" w:hAnsi="Arial Narrow" w:eastAsia="Times New Roman" w:cs="Calibri"/>
                <w:color w:val="000000"/>
                <w:sz w:val="12"/>
                <w:szCs w:val="12"/>
                <w:bdr w:val="single" w:color="auto" w:sz="4" w:space="0"/>
              </w:rPr>
              <w:t>ngan</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80</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8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alat UTTP bertanda tera sah yang berlaku</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10,12</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12,04</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13,12</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14,31</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15,59</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8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Persentase produk lokal yang dipasarkan</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80</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88"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Cakupan bina kelompok Pedagang/Usaha informal</w:t>
            </w:r>
          </w:p>
        </w:tc>
        <w:tc>
          <w:tcPr>
            <w:tcW w:w="384" w:type="dxa"/>
            <w:tcBorders>
              <w:top w:val="nil"/>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top w:val="nil"/>
              <w:left w:val="nil"/>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50</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60</w:t>
            </w:r>
          </w:p>
        </w:tc>
        <w:tc>
          <w:tcPr>
            <w:tcW w:w="1121" w:type="dxa"/>
            <w:tcBorders>
              <w:top w:val="nil"/>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70</w:t>
            </w:r>
          </w:p>
        </w:tc>
        <w:tc>
          <w:tcPr>
            <w:tcW w:w="1090" w:type="dxa"/>
            <w:tcBorders>
              <w:top w:val="nil"/>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80</w:t>
            </w:r>
          </w:p>
        </w:tc>
        <w:tc>
          <w:tcPr>
            <w:tcW w:w="1152" w:type="dxa"/>
            <w:tcBorders>
              <w:top w:val="nil"/>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90</w:t>
            </w:r>
          </w:p>
        </w:tc>
        <w:tc>
          <w:tcPr>
            <w:tcW w:w="1083" w:type="dxa"/>
            <w:tcBorders>
              <w:top w:val="nil"/>
              <w:left w:val="nil"/>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173"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w:t>
            </w:r>
          </w:p>
        </w:tc>
        <w:tc>
          <w:tcPr>
            <w:tcW w:w="1077"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666" w:hRule="atLeast"/>
        </w:trPr>
        <w:tc>
          <w:tcPr>
            <w:tcW w:w="366" w:type="dxa"/>
            <w:tcBorders>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Cakupan bina kelompok pengrajin</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0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74"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4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102</w:t>
            </w:r>
          </w:p>
        </w:tc>
        <w:tc>
          <w:tcPr>
            <w:tcW w:w="523" w:type="dxa"/>
            <w:tcBorders>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109</w:t>
            </w:r>
          </w:p>
        </w:tc>
        <w:tc>
          <w:tcPr>
            <w:tcW w:w="1121"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116</w:t>
            </w:r>
          </w:p>
        </w:tc>
        <w:tc>
          <w:tcPr>
            <w:tcW w:w="1090"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nil"/>
              <w:bottom w:val="single" w:color="auto" w:sz="4" w:space="0"/>
              <w:right w:val="single" w:color="auto" w:sz="4" w:space="0"/>
            </w:tcBorders>
            <w:shd w:val="clear" w:color="auto" w:fill="auto"/>
            <w:noWrap/>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122</w:t>
            </w:r>
          </w:p>
        </w:tc>
        <w:tc>
          <w:tcPr>
            <w:tcW w:w="115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129</w:t>
            </w:r>
          </w:p>
        </w:tc>
        <w:tc>
          <w:tcPr>
            <w:tcW w:w="108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136</w:t>
            </w:r>
          </w:p>
        </w:tc>
        <w:tc>
          <w:tcPr>
            <w:tcW w:w="117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136</w:t>
            </w:r>
          </w:p>
        </w:tc>
        <w:tc>
          <w:tcPr>
            <w:tcW w:w="1077"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68"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92D050"/>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000000" w:fill="92D05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000000" w:fill="92D05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nil"/>
              <w:left w:val="nil"/>
              <w:bottom w:val="single" w:color="auto" w:sz="4" w:space="0"/>
              <w:right w:val="single" w:color="auto" w:sz="4" w:space="0"/>
            </w:tcBorders>
            <w:shd w:val="clear" w:color="000000" w:fill="92D05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nil"/>
              <w:left w:val="nil"/>
              <w:bottom w:val="single" w:color="auto" w:sz="4" w:space="0"/>
              <w:right w:val="single" w:color="auto" w:sz="4" w:space="0"/>
            </w:tcBorders>
            <w:shd w:val="clear" w:color="000000" w:fill="92D05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nil"/>
              <w:left w:val="nil"/>
              <w:bottom w:val="single" w:color="auto" w:sz="4" w:space="0"/>
              <w:right w:val="single" w:color="auto" w:sz="4" w:space="0"/>
            </w:tcBorders>
            <w:shd w:val="clear" w:color="000000" w:fill="92D05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nil"/>
              <w:left w:val="nil"/>
              <w:bottom w:val="single" w:color="auto" w:sz="4" w:space="0"/>
              <w:right w:val="single" w:color="auto" w:sz="4" w:space="0"/>
            </w:tcBorders>
            <w:shd w:val="clear" w:color="000000" w:fill="92D05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Perizinan dan Pendaftaran Perusahaan (4)</w:t>
            </w:r>
          </w:p>
        </w:tc>
        <w:tc>
          <w:tcPr>
            <w:tcW w:w="874" w:type="dxa"/>
            <w:tcBorders>
              <w:top w:val="nil"/>
              <w:left w:val="nil"/>
              <w:bottom w:val="single" w:color="auto" w:sz="4" w:space="0"/>
              <w:right w:val="nil"/>
            </w:tcBorders>
            <w:shd w:val="clear" w:color="000000" w:fill="92D05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Izin Usaha Sektor Perdagangan yang diterbitkan (%)</w:t>
            </w:r>
          </w:p>
        </w:tc>
        <w:tc>
          <w:tcPr>
            <w:tcW w:w="548" w:type="dxa"/>
            <w:tcBorders>
              <w:top w:val="nil"/>
              <w:left w:val="single" w:color="auto" w:sz="4" w:space="0"/>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100.000.000 </w:t>
            </w:r>
          </w:p>
        </w:tc>
        <w:tc>
          <w:tcPr>
            <w:tcW w:w="523"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101.369.000 </w:t>
            </w:r>
          </w:p>
        </w:tc>
        <w:tc>
          <w:tcPr>
            <w:tcW w:w="442"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103.906.266 </w:t>
            </w:r>
          </w:p>
        </w:tc>
        <w:tc>
          <w:tcPr>
            <w:tcW w:w="523"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106.398.977 </w:t>
            </w:r>
          </w:p>
        </w:tc>
        <w:tc>
          <w:tcPr>
            <w:tcW w:w="495"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523"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332" w:type="dxa"/>
            <w:tcBorders>
              <w:top w:val="nil"/>
              <w:left w:val="nil"/>
              <w:bottom w:val="single" w:color="auto" w:sz="4" w:space="0"/>
              <w:right w:val="single" w:color="auto" w:sz="4" w:space="0"/>
            </w:tcBorders>
            <w:shd w:val="clear" w:color="000000" w:fill="92D05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92D050"/>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2664"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Penerbitan Izin Pengelolaan Pasar Rakyat, Pusat Perbelanjaan, dan Izin Usaha Toko Swalayan</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rekomendasi izin pengelolaan pasar rakyat, pusat perbelanjaan, dan izin usaha toko swalayan yang diterbitkan</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101.369.000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103.906.266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08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106.398.977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200 izin</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Selayar</w:t>
            </w:r>
          </w:p>
        </w:tc>
      </w:tr>
      <w:tr>
        <w:tblPrEx>
          <w:tblCellMar>
            <w:top w:w="0" w:type="dxa"/>
            <w:left w:w="108" w:type="dxa"/>
            <w:bottom w:w="0" w:type="dxa"/>
            <w:right w:w="108" w:type="dxa"/>
          </w:tblCellMar>
        </w:tblPrEx>
        <w:trPr>
          <w:trHeight w:val="2937"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Pemenuhan Komitmen Perolehan Perizinan Pasar Rakyat, Pusat Perbelanjaan, dan toko swalayan melalui sistem pelayanan perizinan berusaha terintegrasi secara elektronik</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Rekomendasi Pemenuhan Komitmen Perolehan Perizinan Pasar Rakyat, Pusat Perbelanjaan, dan Toko Swalayan Melalui Sistem Pelayanan Perizinan Berusaha Terintegrasi Secara Elektronik</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101.369.000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103.906.266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106.398.977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108.937.657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250 Dokumen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108.937.657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Selayar</w:t>
            </w:r>
          </w:p>
        </w:tc>
      </w:tr>
      <w:tr>
        <w:tblPrEx>
          <w:tblCellMar>
            <w:top w:w="0" w:type="dxa"/>
            <w:left w:w="108" w:type="dxa"/>
            <w:bottom w:w="0" w:type="dxa"/>
            <w:right w:w="108" w:type="dxa"/>
          </w:tblCellMar>
        </w:tblPrEx>
        <w:trPr>
          <w:trHeight w:val="486"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Penerbitan Tanda Daftar Gudang</w:t>
            </w:r>
          </w:p>
        </w:tc>
        <w:tc>
          <w:tcPr>
            <w:tcW w:w="874" w:type="dxa"/>
            <w:tcBorders>
              <w:top w:val="nil"/>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2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90"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42"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52"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83"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95"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73"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77" w:type="dxa"/>
            <w:tcBorders>
              <w:top w:val="single" w:color="000000"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332" w:type="dxa"/>
            <w:tcBorders>
              <w:top w:val="nil"/>
              <w:left w:val="nil"/>
              <w:bottom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73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727"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Penerbitan Tanda Daftar Gudang</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Jumlah Dokumen Tanda Daftar Gudang</w:t>
            </w:r>
          </w:p>
        </w:tc>
        <w:tc>
          <w:tcPr>
            <w:tcW w:w="548"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42"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495"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332" w:type="dxa"/>
            <w:tcBorders>
              <w:top w:val="nil"/>
              <w:left w:val="nil"/>
              <w:bottom w:val="single" w:color="auto" w:sz="4" w:space="0"/>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p>
        </w:tc>
        <w:tc>
          <w:tcPr>
            <w:tcW w:w="73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469"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Penerbitas Surat Tanda Pendaftaran Waralaba (STPW) untuk Penerima Waralaba dari Waralaba dalam Negeri</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21"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90"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52"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8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95"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7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77"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2"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sz w:val="12"/>
                <w:szCs w:val="12"/>
              </w:rPr>
            </w:pPr>
          </w:p>
        </w:tc>
        <w:tc>
          <w:tcPr>
            <w:tcW w:w="738" w:type="dxa"/>
            <w:tcBorders>
              <w:top w:val="single" w:color="auto" w:sz="4" w:space="0"/>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077" w:hRule="atLeast"/>
        </w:trPr>
        <w:tc>
          <w:tcPr>
            <w:tcW w:w="366" w:type="dxa"/>
            <w:tcBorders>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434" w:type="dxa"/>
            <w:tcBorders>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 Perizinan Surat Tanda Pendaftaran dan/atau Lanjutan waralaba (STPW) dalam Negeri Terintegrasi secara Elektronik</w:t>
            </w:r>
          </w:p>
        </w:tc>
        <w:tc>
          <w:tcPr>
            <w:tcW w:w="874" w:type="dxa"/>
            <w:tcBorders>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Perizinan Surat Tanda Pendaftaran dan/atau Lanjutan Waralaba (STPW) Dalam Negeri Terintegrasi Secara Elektronik</w:t>
            </w:r>
          </w:p>
        </w:tc>
        <w:tc>
          <w:tcPr>
            <w:tcW w:w="548"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21" w:type="dxa"/>
            <w:tcBorders>
              <w:left w:val="nil"/>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90"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52"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83"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73"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77" w:type="dxa"/>
            <w:tcBorders>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213"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left w:val="nil"/>
              <w:bottom w:val="single" w:color="auto" w:sz="4" w:space="0"/>
              <w:right w:val="single" w:color="000000"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 Pemenuhan Komitmen Perolehan Surat Tanda Pendaftaran dan/atau Lanjutan Waralaba (STPW) dalam Negeri</w:t>
            </w:r>
          </w:p>
        </w:tc>
        <w:tc>
          <w:tcPr>
            <w:tcW w:w="874" w:type="dxa"/>
            <w:tcBorders>
              <w:left w:val="nil"/>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yang Diverifikasi sebagai Pemenuhan Komitmen Perolehan Surat Tanda Pendaftaran dan/atau Lanjutan Waralaba (STPW) Dalam Negeri</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441"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04</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833" w:type="dxa"/>
            <w:tcBorders>
              <w:top w:val="single" w:color="auto" w:sz="4" w:space="0"/>
              <w:left w:val="nil"/>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Penerbitan Surat Tanda Pendaftaran Waralaba (STPW) untuk Penerima Waralaba Lanjutan dari Waralaba Luar Negeri</w:t>
            </w:r>
          </w:p>
        </w:tc>
        <w:tc>
          <w:tcPr>
            <w:tcW w:w="874" w:type="dxa"/>
            <w:tcBorders>
              <w:top w:val="single" w:color="auto" w:sz="4" w:space="0"/>
              <w:left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121" w:type="dxa"/>
            <w:tcBorders>
              <w:top w:val="single" w:color="auto" w:sz="4" w:space="0"/>
              <w:left w:val="nil"/>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083"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173"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077"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2" w:type="dxa"/>
            <w:tcBorders>
              <w:top w:val="single" w:color="auto" w:sz="4" w:space="0"/>
              <w:left w:val="nil"/>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2568"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bottom w:val="nil"/>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Sistem Pelayanan Perizinan Lanjutan Surat Tanda Pendaftaran dan/atau Lanjutan Waralaba (STPW) Terintegrasi secara Elektronik Luar Negeri</w:t>
            </w:r>
          </w:p>
        </w:tc>
        <w:tc>
          <w:tcPr>
            <w:tcW w:w="874" w:type="dxa"/>
            <w:tcBorders>
              <w:left w:val="single" w:color="auto" w:sz="4" w:space="0"/>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Data dan Informasi Sistem Pelayanan Perizinan Lanjutan Surat Tanda Pendaftaran dan/atau Lanjutan Waralaba (STPW) Terintegrasi Secara Elektronik Luar Negeri</w:t>
            </w:r>
          </w:p>
        </w:tc>
        <w:tc>
          <w:tcPr>
            <w:tcW w:w="54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8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73"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77"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089"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04</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Fasilitasi Pemenuhan Lanjutan Surat Tanda Pendaftaran dan/atau Lanjutan Waralaba (STPW) Luar Negeri</w:t>
            </w:r>
          </w:p>
        </w:tc>
        <w:tc>
          <w:tcPr>
            <w:tcW w:w="874"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yang Diverifikasi sebagai Pemenuhan Lanjutan Surat Tanda Pendaftaran dan/atau Lanjutan Waralaba (STPW) Luar Negeri</w:t>
            </w:r>
          </w:p>
        </w:tc>
        <w:tc>
          <w:tcPr>
            <w:tcW w:w="54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21"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8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173"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107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077"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05</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Penerbitan Surat Izin Usaha Perdagangan Minuman Beralkohol Golongan B dan C untuk Pengecer dan Penjual Langsung Minum di Tempat</w:t>
            </w:r>
          </w:p>
        </w:tc>
        <w:tc>
          <w:tcPr>
            <w:tcW w:w="874" w:type="dxa"/>
            <w:tcBorders>
              <w:top w:val="single" w:color="auto" w:sz="4" w:space="0"/>
              <w:left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121"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08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95"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17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right w:val="nil"/>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p>
        </w:tc>
        <w:tc>
          <w:tcPr>
            <w:tcW w:w="1077"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068"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Fasilitasi Penerbitan Surat Izin Usaha Perdagangan Minuman Beralkohol Golongan B dan C</w:t>
            </w:r>
          </w:p>
        </w:tc>
        <w:tc>
          <w:tcPr>
            <w:tcW w:w="874"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Surat Izin Usaha Perdagangan untuk Pengecer dan Penjual Langsung Minuman Beralkohol Golongan B dan C yang Diterbitkan Melalui Sistem Pelayanan Perizinan Berusaha Terintegrasi Secara Elektronik</w:t>
            </w:r>
          </w:p>
        </w:tc>
        <w:tc>
          <w:tcPr>
            <w:tcW w:w="54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574"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06</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nil"/>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Pengendalian Fasilitas Penyimpanan Bahan Berbahaya dan Pengawasan Distribusi, Pengemasan dan Pelabelan Bahan Berbahaya di Tingkat Daerah Kabupaten/ Kota</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21"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9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5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8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7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7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33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xml:space="preserve">Pemeriksaan Penyimpanan Bahan Berbahaya </w:t>
            </w:r>
          </w:p>
        </w:tc>
        <w:tc>
          <w:tcPr>
            <w:tcW w:w="874" w:type="dxa"/>
            <w:tcBorders>
              <w:top w:val="nil"/>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Hasil Pemeriksaan Penyimpanan Bahan Berbahaya</w:t>
            </w:r>
          </w:p>
        </w:tc>
        <w:tc>
          <w:tcPr>
            <w:tcW w:w="548"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top w:val="single" w:color="000000"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964"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left w:val="nil"/>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Fasilitasi Pemenuhan Komitmen Pemeriksaan Distribusi Bahan Berbahaya bagi P-B2 dan PA-B2</w:t>
            </w:r>
          </w:p>
        </w:tc>
        <w:tc>
          <w:tcPr>
            <w:tcW w:w="874" w:type="dxa"/>
            <w:tcBorders>
              <w:left w:val="single" w:color="auto" w:sz="4" w:space="0"/>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Hasil Fasilitasi Proses Pemenuhan Komitmen Pemeriksaan Distribusi Bahan Berbahaya bagi P-B2 dan PA-B2</w:t>
            </w:r>
          </w:p>
        </w:tc>
        <w:tc>
          <w:tcPr>
            <w:tcW w:w="54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693"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Pengawasan Distribusi, Pengemasan dan Pelabelan Bahan Berbahaya terhadap Pengguna Akhir Bahan Berbahaya (PA-B2) maupun Produsen B2 (P-B2)</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Laporan Hasil Pengawasan Distribusi, Pengemasan dan Pelabelan Bahan Berbahaya Terhadap Distributor B2, Pengguna Akhir Bahan Berbahaya (PA-B2) maupun Produsen B2 (P-B2)</w:t>
            </w:r>
          </w:p>
        </w:tc>
        <w:tc>
          <w:tcPr>
            <w:tcW w:w="548" w:type="dxa"/>
            <w:tcBorders>
              <w:top w:val="single" w:color="auto" w:sz="4" w:space="0"/>
              <w:left w:val="nil"/>
              <w:bottom w:val="nil"/>
              <w:right w:val="nil"/>
            </w:tcBorders>
            <w:shd w:val="clear" w:color="auto" w:fill="auto"/>
            <w:vAlign w:val="center"/>
          </w:tcPr>
          <w:p>
            <w:pPr>
              <w:spacing w:after="0" w:line="240" w:lineRule="auto"/>
              <w:jc w:val="center"/>
              <w:rPr>
                <w:rFonts w:ascii="Arial Narrow" w:hAnsi="Arial Narrow" w:eastAsia="Times New Roman" w:cs="Calibri"/>
                <w:color w:val="000000"/>
                <w:sz w:val="12"/>
                <w:szCs w:val="12"/>
              </w:rPr>
            </w:pPr>
          </w:p>
        </w:tc>
        <w:tc>
          <w:tcPr>
            <w:tcW w:w="523"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auto" w:sz="4" w:space="0"/>
              <w:left w:val="single" w:color="000000" w:sz="4" w:space="0"/>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077"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333"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07</w:t>
            </w:r>
          </w:p>
        </w:tc>
        <w:tc>
          <w:tcPr>
            <w:tcW w:w="434" w:type="dxa"/>
            <w:tcBorders>
              <w:top w:val="nil"/>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Penerbitan Surat Keterangan Asal (bagi Daerah Kabupaten/Kota yang Telah Ditetapkan Sebagai Instansi Penerbit Surat Keterangan Asal)</w:t>
            </w:r>
          </w:p>
        </w:tc>
        <w:tc>
          <w:tcPr>
            <w:tcW w:w="874" w:type="dxa"/>
            <w:tcBorders>
              <w:top w:val="single" w:color="000000"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48" w:type="dxa"/>
            <w:tcBorders>
              <w:top w:val="single" w:color="000000"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523" w:type="dxa"/>
            <w:tcBorders>
              <w:top w:val="single" w:color="000000"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21" w:type="dxa"/>
            <w:tcBorders>
              <w:top w:val="nil"/>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90"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52"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8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17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top w:val="single" w:color="000000"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1077"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82"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434"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Sinkronisasi Layanan Penerbitan SKA</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Penerbitan Surat Keterangan Asal</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21" w:type="dxa"/>
            <w:tcBorders>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8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495"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10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Peningkatan Sarana Distribusi Perdagangan (1)</w:t>
            </w:r>
          </w:p>
        </w:tc>
        <w:tc>
          <w:tcPr>
            <w:tcW w:w="874" w:type="dxa"/>
            <w:tcBorders>
              <w:top w:val="single" w:color="auto" w:sz="4" w:space="0"/>
              <w:left w:val="single" w:color="000000" w:sz="4" w:space="0"/>
              <w:bottom w:val="single" w:color="auto" w:sz="4" w:space="0"/>
              <w:right w:val="single" w:color="000000"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ketersediaan sarana prasarana perdagangan (%)</w:t>
            </w:r>
          </w:p>
        </w:tc>
        <w:tc>
          <w:tcPr>
            <w:tcW w:w="548" w:type="dxa"/>
            <w:tcBorders>
              <w:top w:val="single" w:color="auto" w:sz="4" w:space="0"/>
              <w:left w:val="nil"/>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523" w:type="dxa"/>
            <w:tcBorders>
              <w:top w:val="single" w:color="auto" w:sz="4" w:space="0"/>
              <w:left w:val="nil"/>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21"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150.000.000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90"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152.053.500 </w:t>
            </w:r>
          </w:p>
        </w:tc>
        <w:tc>
          <w:tcPr>
            <w:tcW w:w="442"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52"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155.859.399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8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159.598.466 </w:t>
            </w:r>
          </w:p>
        </w:tc>
        <w:tc>
          <w:tcPr>
            <w:tcW w:w="495"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163.406.485 </w:t>
            </w:r>
          </w:p>
        </w:tc>
        <w:tc>
          <w:tcPr>
            <w:tcW w:w="523" w:type="dxa"/>
            <w:tcBorders>
              <w:top w:val="single" w:color="auto" w:sz="4" w:space="0"/>
              <w:left w:val="single" w:color="000000" w:sz="4" w:space="0"/>
              <w:bottom w:val="single" w:color="auto" w:sz="4" w:space="0"/>
              <w:right w:val="single" w:color="000000"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single" w:color="auto" w:sz="4" w:space="0"/>
              <w:left w:val="single" w:color="auto" w:sz="4" w:space="0"/>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163.406.485 </w:t>
            </w:r>
          </w:p>
        </w:tc>
        <w:tc>
          <w:tcPr>
            <w:tcW w:w="33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08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xml:space="preserve">Pembangunan dan Pengelolaan Sarana Distribusi Perdagangan </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saran dan prasarana dalam kondisi baik</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90.903.500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93.559.399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95.598.466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97.000.485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97.000.485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17"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Penyediaan Sarana Distribusi Perdagangan</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Sarana Distribusi Perdagangan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40.253.500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42.059.399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43.098.466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44.200.000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Unit</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44.200.000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08"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Pengelolaan Sarana Distribusi Perdagangan</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Fasilitasi Pengelolaan Sarana Distribusi Perdagangan</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50.650.000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51.500.000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52.500.000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52.800.485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Unit</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52.800.485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86"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03</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02</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Pembinaan Terhadap Pengelola Sarana Distribusi Perdagangan Masyarakat di Wilayah Kerjanya</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pembinaan terhadap pengelola sarana distribusi perdagangan</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21"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61.150.000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62.300.000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64.000.000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66.406.000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30 sarana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66.406.000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2200"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xml:space="preserve">Pembinaan dan Pengendalian Pengelolaan Sarana Distribusi Perdagangan </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Hasil Pembinaan dan Pengendalian kepada Pengelola Sarana Distribusi Perdagangan</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35.150.000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35.300.000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36.000.000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37.206.000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37.206.000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92"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Pemberdayaan Pengelola Sarana Distribusi Perdagangan</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Dokumen Hasil Pembinaan dan Pengendalian kepada Pengelola Sarana Distribusi Perdagangan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28.000.000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29.200.000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29.200.000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4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538DD5"/>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05</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Pengembangan Ekspor (2)</w:t>
            </w:r>
          </w:p>
        </w:tc>
        <w:tc>
          <w:tcPr>
            <w:tcW w:w="874" w:type="dxa"/>
            <w:tcBorders>
              <w:top w:val="nil"/>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peningkatan jumlah komoditi ekspor (%)</w:t>
            </w:r>
          </w:p>
        </w:tc>
        <w:tc>
          <w:tcPr>
            <w:tcW w:w="548"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w:t>
            </w:r>
          </w:p>
        </w:tc>
        <w:tc>
          <w:tcPr>
            <w:tcW w:w="523"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1121"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180.000.000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19</w:t>
            </w:r>
          </w:p>
        </w:tc>
        <w:tc>
          <w:tcPr>
            <w:tcW w:w="1090"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182.464.200 </w:t>
            </w:r>
          </w:p>
        </w:tc>
        <w:tc>
          <w:tcPr>
            <w:tcW w:w="442"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21</w:t>
            </w:r>
          </w:p>
        </w:tc>
        <w:tc>
          <w:tcPr>
            <w:tcW w:w="1152"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187.031.279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23</w:t>
            </w:r>
          </w:p>
        </w:tc>
        <w:tc>
          <w:tcPr>
            <w:tcW w:w="108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191.518.159 </w:t>
            </w:r>
          </w:p>
        </w:tc>
        <w:tc>
          <w:tcPr>
            <w:tcW w:w="495"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25</w:t>
            </w:r>
          </w:p>
        </w:tc>
        <w:tc>
          <w:tcPr>
            <w:tcW w:w="1173"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196.087.783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25</w:t>
            </w:r>
          </w:p>
        </w:tc>
        <w:tc>
          <w:tcPr>
            <w:tcW w:w="1077" w:type="dxa"/>
            <w:tcBorders>
              <w:top w:val="nil"/>
              <w:left w:val="single" w:color="auto" w:sz="4" w:space="0"/>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196.087.783 </w:t>
            </w:r>
          </w:p>
        </w:tc>
        <w:tc>
          <w:tcPr>
            <w:tcW w:w="332" w:type="dxa"/>
            <w:tcBorders>
              <w:top w:val="nil"/>
              <w:left w:val="nil"/>
              <w:bottom w:val="single" w:color="auto" w:sz="4" w:space="0"/>
              <w:right w:val="single" w:color="auto" w:sz="4" w:space="0"/>
            </w:tcBorders>
            <w:shd w:val="clear" w:color="000000" w:fill="538DD5"/>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323"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05</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Penyelenggaraan Promosi Dagang Melalui Pameran Dagang dan Misi Dagang Bagi Produk Ekspor Unggulan yang Terdapat pada 1 (satu) daerah Kabupaten/Kota</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xml:space="preserve">Jumlah barang/jasa atau komoditi unggulan daerah serta perluasan pasar yang dikembangkan </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121"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180.000.000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090"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182.464.200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152"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187.031.279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083"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191.518.159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173"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196.087.783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 Jenis</w:t>
            </w:r>
          </w:p>
        </w:tc>
        <w:tc>
          <w:tcPr>
            <w:tcW w:w="1077" w:type="dxa"/>
            <w:tcBorders>
              <w:top w:val="single" w:color="auto" w:sz="4" w:space="0"/>
              <w:left w:val="single" w:color="auto" w:sz="4" w:space="0"/>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196.087.783 </w:t>
            </w:r>
          </w:p>
        </w:tc>
        <w:tc>
          <w:tcPr>
            <w:tcW w:w="332" w:type="dxa"/>
            <w:tcBorders>
              <w:top w:val="single" w:color="auto" w:sz="4" w:space="0"/>
              <w:left w:val="nil"/>
              <w:right w:val="single" w:color="auto" w:sz="4" w:space="0"/>
            </w:tcBorders>
            <w:shd w:val="clear" w:color="auto" w:fill="auto"/>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50" w:hRule="atLeast"/>
        </w:trPr>
        <w:tc>
          <w:tcPr>
            <w:tcW w:w="366" w:type="dxa"/>
            <w:tcBorders>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Pembinaan dan Pengembangan Usaha Produk Ekspor Unggulan Kabupaten/kota</w:t>
            </w:r>
          </w:p>
        </w:tc>
        <w:tc>
          <w:tcPr>
            <w:tcW w:w="874" w:type="dxa"/>
            <w:tcBorders>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Produk Ekspor Unggulan yang Dibina</w:t>
            </w:r>
          </w:p>
        </w:tc>
        <w:tc>
          <w:tcPr>
            <w:tcW w:w="548"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523" w:type="dxa"/>
            <w:tcBorders>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26.000.000 </w:t>
            </w:r>
          </w:p>
        </w:tc>
        <w:tc>
          <w:tcPr>
            <w:tcW w:w="442"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27.100.000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27.268.159 </w:t>
            </w:r>
          </w:p>
        </w:tc>
        <w:tc>
          <w:tcPr>
            <w:tcW w:w="495"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27.587.783 </w:t>
            </w:r>
          </w:p>
        </w:tc>
        <w:tc>
          <w:tcPr>
            <w:tcW w:w="523" w:type="dxa"/>
            <w:tcBorders>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27.587.783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088"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Pameran dagang Nasional</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yang Difasilitasi dalam Pameran Dagang</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30.614.200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31.200.000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32.000.000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33.000.000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33.000.000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39"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Pameran Dagang Lokal</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yang Difasilitasi dalam Pameran Dagang Lokal</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25.200.000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25.850.000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26.750.000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19"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04</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Misi Dagang Bagi Ekpor Unggulan</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yang Difasilitasi dalam Misi Dagang Produk Ekspor Unggulan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50.250.000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51.181.279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52.000.000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 Pelaku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53.000.000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709"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05</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xml:space="preserve">Peningkatan Citra Produk Ekspor </w:t>
            </w:r>
          </w:p>
        </w:tc>
        <w:tc>
          <w:tcPr>
            <w:tcW w:w="874" w:type="dxa"/>
            <w:tcBorders>
              <w:top w:val="nil"/>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Produk Unggulan Ekspor Daerah yang Disusun Menjadi Materi Promosi</w:t>
            </w:r>
          </w:p>
        </w:tc>
        <w:tc>
          <w:tcPr>
            <w:tcW w:w="548"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25.200.000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25.850.000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26.750.000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Produk</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888"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05</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06</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Pembinaan Pelaku Usaha Ekspor</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Ekspor yang Dibina</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25.200.000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25.850.000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26.750.000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 Pelaku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27.500.000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36"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538DD5"/>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06</w:t>
            </w:r>
          </w:p>
        </w:tc>
        <w:tc>
          <w:tcPr>
            <w:tcW w:w="333"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top w:val="nil"/>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Standarisasi dan Perlindungan Konsumen (2)</w:t>
            </w:r>
          </w:p>
        </w:tc>
        <w:tc>
          <w:tcPr>
            <w:tcW w:w="874" w:type="dxa"/>
            <w:tcBorders>
              <w:top w:val="nil"/>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alat ukur yang ditera (%)</w:t>
            </w:r>
          </w:p>
        </w:tc>
        <w:tc>
          <w:tcPr>
            <w:tcW w:w="548"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523" w:type="dxa"/>
            <w:tcBorders>
              <w:top w:val="nil"/>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121"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420.000.000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090"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425.749.800 </w:t>
            </w:r>
          </w:p>
        </w:tc>
        <w:tc>
          <w:tcPr>
            <w:tcW w:w="442"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152"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436.406.317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083"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446.875.705 </w:t>
            </w:r>
          </w:p>
        </w:tc>
        <w:tc>
          <w:tcPr>
            <w:tcW w:w="495"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173"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457.538.159 </w:t>
            </w:r>
          </w:p>
        </w:tc>
        <w:tc>
          <w:tcPr>
            <w:tcW w:w="523" w:type="dxa"/>
            <w:tcBorders>
              <w:top w:val="nil"/>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10,00</w:t>
            </w:r>
          </w:p>
        </w:tc>
        <w:tc>
          <w:tcPr>
            <w:tcW w:w="1077" w:type="dxa"/>
            <w:tcBorders>
              <w:top w:val="nil"/>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457.538.159 </w:t>
            </w:r>
          </w:p>
        </w:tc>
        <w:tc>
          <w:tcPr>
            <w:tcW w:w="332" w:type="dxa"/>
            <w:tcBorders>
              <w:top w:val="nil"/>
              <w:left w:val="nil"/>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973" w:hRule="atLeast"/>
        </w:trPr>
        <w:tc>
          <w:tcPr>
            <w:tcW w:w="366" w:type="dxa"/>
            <w:tcBorders>
              <w:top w:val="single" w:color="auto" w:sz="4" w:space="0"/>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06</w:t>
            </w:r>
          </w:p>
        </w:tc>
        <w:tc>
          <w:tcPr>
            <w:tcW w:w="333"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single" w:color="auto" w:sz="4" w:space="0"/>
              <w:left w:val="nil"/>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Pelaksanaan Metrologi Legal Berupa, Tera, Tera Ulang, dan Pengawasan</w:t>
            </w:r>
          </w:p>
        </w:tc>
        <w:tc>
          <w:tcPr>
            <w:tcW w:w="874" w:type="dxa"/>
            <w:tcBorders>
              <w:top w:val="single" w:color="auto" w:sz="4" w:space="0"/>
              <w:left w:val="single" w:color="000000"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Alat UTTP bertanda tera SAH yang berlaku</w:t>
            </w:r>
          </w:p>
        </w:tc>
        <w:tc>
          <w:tcPr>
            <w:tcW w:w="548"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w:t>
            </w:r>
          </w:p>
        </w:tc>
        <w:tc>
          <w:tcPr>
            <w:tcW w:w="523" w:type="dxa"/>
            <w:tcBorders>
              <w:top w:val="single" w:color="auto" w:sz="4" w:space="0"/>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w:t>
            </w:r>
          </w:p>
        </w:tc>
        <w:tc>
          <w:tcPr>
            <w:tcW w:w="1121"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420.000.000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70</w:t>
            </w:r>
          </w:p>
        </w:tc>
        <w:tc>
          <w:tcPr>
            <w:tcW w:w="1090"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425.749.800 </w:t>
            </w:r>
          </w:p>
        </w:tc>
        <w:tc>
          <w:tcPr>
            <w:tcW w:w="442"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80</w:t>
            </w:r>
          </w:p>
        </w:tc>
        <w:tc>
          <w:tcPr>
            <w:tcW w:w="1152"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436.406.317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90</w:t>
            </w:r>
          </w:p>
        </w:tc>
        <w:tc>
          <w:tcPr>
            <w:tcW w:w="108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446.875.705 </w:t>
            </w:r>
          </w:p>
        </w:tc>
        <w:tc>
          <w:tcPr>
            <w:tcW w:w="495"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173"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457.538.159 </w:t>
            </w:r>
          </w:p>
        </w:tc>
        <w:tc>
          <w:tcPr>
            <w:tcW w:w="523" w:type="dxa"/>
            <w:tcBorders>
              <w:top w:val="single" w:color="auto" w:sz="4" w:space="0"/>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100</w:t>
            </w:r>
          </w:p>
        </w:tc>
        <w:tc>
          <w:tcPr>
            <w:tcW w:w="1077" w:type="dxa"/>
            <w:tcBorders>
              <w:top w:val="single" w:color="auto" w:sz="4" w:space="0"/>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457.538.159 </w:t>
            </w:r>
          </w:p>
        </w:tc>
        <w:tc>
          <w:tcPr>
            <w:tcW w:w="332" w:type="dxa"/>
            <w:tcBorders>
              <w:top w:val="single" w:color="auto" w:sz="4" w:space="0"/>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r>
      <w:tr>
        <w:tblPrEx>
          <w:tblCellMar>
            <w:top w:w="0" w:type="dxa"/>
            <w:left w:w="108" w:type="dxa"/>
            <w:bottom w:w="0" w:type="dxa"/>
            <w:right w:w="108" w:type="dxa"/>
          </w:tblCellMar>
        </w:tblPrEx>
        <w:trPr>
          <w:trHeight w:val="1553"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333" w:type="dxa"/>
            <w:tcBorders>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Pelaksanaan Metrologi Legal Berupa, Tera, Tera Ulang</w:t>
            </w:r>
          </w:p>
        </w:tc>
        <w:tc>
          <w:tcPr>
            <w:tcW w:w="874" w:type="dxa"/>
            <w:tcBorders>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Alat Ukur, Alat Takar, Alat Timbang, dan Alat Perlengkapan Ditera Ulang</w:t>
            </w:r>
          </w:p>
        </w:tc>
        <w:tc>
          <w:tcPr>
            <w:tcW w:w="548"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650 Unit </w:t>
            </w:r>
          </w:p>
        </w:tc>
        <w:tc>
          <w:tcPr>
            <w:tcW w:w="523" w:type="dxa"/>
            <w:tcBorders>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650 Unit</w:t>
            </w:r>
          </w:p>
        </w:tc>
        <w:tc>
          <w:tcPr>
            <w:tcW w:w="1121"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160.000.000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 </w:t>
            </w:r>
          </w:p>
        </w:tc>
        <w:tc>
          <w:tcPr>
            <w:tcW w:w="1090"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162.249.800 </w:t>
            </w:r>
          </w:p>
        </w:tc>
        <w:tc>
          <w:tcPr>
            <w:tcW w:w="442"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650 Unit</w:t>
            </w:r>
          </w:p>
        </w:tc>
        <w:tc>
          <w:tcPr>
            <w:tcW w:w="1152"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166.406.317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650 Unit</w:t>
            </w:r>
          </w:p>
        </w:tc>
        <w:tc>
          <w:tcPr>
            <w:tcW w:w="108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168.875.705 </w:t>
            </w:r>
          </w:p>
        </w:tc>
        <w:tc>
          <w:tcPr>
            <w:tcW w:w="495"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650 Unit</w:t>
            </w:r>
          </w:p>
        </w:tc>
        <w:tc>
          <w:tcPr>
            <w:tcW w:w="1173"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172.538.159 </w:t>
            </w:r>
          </w:p>
        </w:tc>
        <w:tc>
          <w:tcPr>
            <w:tcW w:w="523" w:type="dxa"/>
            <w:tcBorders>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650 Unit</w:t>
            </w:r>
          </w:p>
        </w:tc>
        <w:tc>
          <w:tcPr>
            <w:tcW w:w="1077" w:type="dxa"/>
            <w:tcBorders>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172.538.159 </w:t>
            </w:r>
          </w:p>
        </w:tc>
        <w:tc>
          <w:tcPr>
            <w:tcW w:w="332" w:type="dxa"/>
            <w:tcBorders>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332"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Pengawasan/Penyuluhan Metrologi Legal</w:t>
            </w:r>
          </w:p>
        </w:tc>
        <w:tc>
          <w:tcPr>
            <w:tcW w:w="874" w:type="dxa"/>
            <w:tcBorders>
              <w:top w:val="nil"/>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Pelaku Usaha di Bidang Metrologi Legal yang Dibina</w:t>
            </w:r>
          </w:p>
        </w:tc>
        <w:tc>
          <w:tcPr>
            <w:tcW w:w="548"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523" w:type="dxa"/>
            <w:tcBorders>
              <w:top w:val="nil"/>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200.000.000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202.000.000 </w:t>
            </w:r>
          </w:p>
        </w:tc>
        <w:tc>
          <w:tcPr>
            <w:tcW w:w="442"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206.000.000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211.000.000 </w:t>
            </w:r>
          </w:p>
        </w:tc>
        <w:tc>
          <w:tcPr>
            <w:tcW w:w="495"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214.000.000 </w:t>
            </w:r>
          </w:p>
        </w:tc>
        <w:tc>
          <w:tcPr>
            <w:tcW w:w="523" w:type="dxa"/>
            <w:tcBorders>
              <w:top w:val="nil"/>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231 Oarang</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214.000.000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077" w:hRule="atLeast"/>
        </w:trPr>
        <w:tc>
          <w:tcPr>
            <w:tcW w:w="366" w:type="dxa"/>
            <w:tcBorders>
              <w:top w:val="nil"/>
              <w:left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06</w:t>
            </w:r>
          </w:p>
        </w:tc>
        <w:tc>
          <w:tcPr>
            <w:tcW w:w="333" w:type="dxa"/>
            <w:tcBorders>
              <w:top w:val="nil"/>
              <w:left w:val="nil"/>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top w:val="nil"/>
              <w:left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Penyidikan Metrologi Legal</w:t>
            </w:r>
          </w:p>
        </w:tc>
        <w:tc>
          <w:tcPr>
            <w:tcW w:w="874" w:type="dxa"/>
            <w:tcBorders>
              <w:top w:val="nil"/>
              <w:left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Unit Hasil Penyidikan Metrologi Legal</w:t>
            </w:r>
          </w:p>
        </w:tc>
        <w:tc>
          <w:tcPr>
            <w:tcW w:w="548"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523" w:type="dxa"/>
            <w:tcBorders>
              <w:top w:val="nil"/>
              <w:left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121"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60.000.000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090"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61.500.000 </w:t>
            </w:r>
          </w:p>
        </w:tc>
        <w:tc>
          <w:tcPr>
            <w:tcW w:w="442"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152"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64.000.000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08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67.000.000 </w:t>
            </w:r>
          </w:p>
        </w:tc>
        <w:tc>
          <w:tcPr>
            <w:tcW w:w="495"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173"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71.000.000 </w:t>
            </w:r>
          </w:p>
        </w:tc>
        <w:tc>
          <w:tcPr>
            <w:tcW w:w="523" w:type="dxa"/>
            <w:tcBorders>
              <w:top w:val="nil"/>
              <w:left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1500 Unit</w:t>
            </w:r>
          </w:p>
        </w:tc>
        <w:tc>
          <w:tcPr>
            <w:tcW w:w="1077" w:type="dxa"/>
            <w:tcBorders>
              <w:top w:val="nil"/>
              <w:left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71.000.000 </w:t>
            </w:r>
          </w:p>
        </w:tc>
        <w:tc>
          <w:tcPr>
            <w:tcW w:w="332" w:type="dxa"/>
            <w:tcBorders>
              <w:top w:val="nil"/>
              <w:left w:val="nil"/>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216" w:hRule="atLeast"/>
        </w:trPr>
        <w:tc>
          <w:tcPr>
            <w:tcW w:w="366" w:type="dxa"/>
            <w:tcBorders>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left w:val="nil"/>
              <w:bottom w:val="single" w:color="auto" w:sz="4" w:space="0"/>
              <w:right w:val="single" w:color="auto" w:sz="4" w:space="0"/>
            </w:tcBorders>
            <w:shd w:val="clear" w:color="000000" w:fill="538DD5"/>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07</w:t>
            </w:r>
          </w:p>
        </w:tc>
        <w:tc>
          <w:tcPr>
            <w:tcW w:w="333" w:type="dxa"/>
            <w:tcBorders>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00" w:type="dxa"/>
            <w:tcBorders>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434" w:type="dxa"/>
            <w:tcBorders>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Penggunaan dan Pemasaran Produk dalam Negeri (2)</w:t>
            </w:r>
          </w:p>
        </w:tc>
        <w:tc>
          <w:tcPr>
            <w:tcW w:w="874" w:type="dxa"/>
            <w:tcBorders>
              <w:left w:val="single" w:color="000000" w:sz="4" w:space="0"/>
              <w:bottom w:val="single" w:color="000000" w:sz="4" w:space="0"/>
              <w:right w:val="nil"/>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produk lokal yang dipasarkan (%)</w:t>
            </w:r>
          </w:p>
        </w:tc>
        <w:tc>
          <w:tcPr>
            <w:tcW w:w="548" w:type="dxa"/>
            <w:tcBorders>
              <w:left w:val="single" w:color="auto" w:sz="4" w:space="0"/>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25,00</w:t>
            </w:r>
          </w:p>
        </w:tc>
        <w:tc>
          <w:tcPr>
            <w:tcW w:w="523"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28,00</w:t>
            </w:r>
          </w:p>
        </w:tc>
        <w:tc>
          <w:tcPr>
            <w:tcW w:w="1121"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100.000.000 </w:t>
            </w:r>
          </w:p>
        </w:tc>
        <w:tc>
          <w:tcPr>
            <w:tcW w:w="523"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33,00</w:t>
            </w:r>
          </w:p>
        </w:tc>
        <w:tc>
          <w:tcPr>
            <w:tcW w:w="1090"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101.369.000 </w:t>
            </w:r>
          </w:p>
        </w:tc>
        <w:tc>
          <w:tcPr>
            <w:tcW w:w="442"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37,00</w:t>
            </w:r>
          </w:p>
        </w:tc>
        <w:tc>
          <w:tcPr>
            <w:tcW w:w="1152"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103.906.266 </w:t>
            </w:r>
          </w:p>
        </w:tc>
        <w:tc>
          <w:tcPr>
            <w:tcW w:w="523"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39,00</w:t>
            </w:r>
          </w:p>
        </w:tc>
        <w:tc>
          <w:tcPr>
            <w:tcW w:w="1083"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106.398.977 </w:t>
            </w:r>
          </w:p>
        </w:tc>
        <w:tc>
          <w:tcPr>
            <w:tcW w:w="495"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42,00</w:t>
            </w:r>
          </w:p>
        </w:tc>
        <w:tc>
          <w:tcPr>
            <w:tcW w:w="1173"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523" w:type="dxa"/>
            <w:tcBorders>
              <w:left w:val="nil"/>
              <w:bottom w:val="single" w:color="auto" w:sz="4" w:space="0"/>
              <w:right w:val="nil"/>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42,00</w:t>
            </w:r>
          </w:p>
        </w:tc>
        <w:tc>
          <w:tcPr>
            <w:tcW w:w="1077" w:type="dxa"/>
            <w:tcBorders>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332" w:type="dxa"/>
            <w:tcBorders>
              <w:left w:val="nil"/>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91"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30</w:t>
            </w:r>
          </w:p>
        </w:tc>
        <w:tc>
          <w:tcPr>
            <w:tcW w:w="35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07</w:t>
            </w:r>
          </w:p>
        </w:tc>
        <w:tc>
          <w:tcPr>
            <w:tcW w:w="333"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2</w:t>
            </w:r>
          </w:p>
        </w:tc>
        <w:tc>
          <w:tcPr>
            <w:tcW w:w="400"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01</w:t>
            </w:r>
          </w:p>
        </w:tc>
        <w:tc>
          <w:tcPr>
            <w:tcW w:w="434" w:type="dxa"/>
            <w:tcBorders>
              <w:top w:val="nil"/>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Pelaksanaan Promosi, Pemasaran dan Peningkatan Penggunaan Produk dalam Negeri</w:t>
            </w:r>
          </w:p>
        </w:tc>
        <w:tc>
          <w:tcPr>
            <w:tcW w:w="874" w:type="dxa"/>
            <w:tcBorders>
              <w:top w:val="nil"/>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prasarana yang digunakan dalam meningkatkan penggunaan produk dalam negeri</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100.000.000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101.369.000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103.906.266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106.398.977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 Media</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108.937.657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97"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Pelaksaaan Promosi Penggunaan Produk dalam Negeri di Tingkat Kabupaten/Kota</w:t>
            </w:r>
          </w:p>
        </w:tc>
        <w:tc>
          <w:tcPr>
            <w:tcW w:w="874" w:type="dxa"/>
            <w:tcBorders>
              <w:top w:val="single" w:color="auto" w:sz="4" w:space="0"/>
              <w:left w:val="single" w:color="000000" w:sz="4" w:space="0"/>
              <w:bottom w:val="single" w:color="000000"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UMKM yang Melaksanakan Promosi Penggunaan Produk Dalam Negeri di Tingkat Kabupaten/Kota</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15.519.000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16.906.266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17.198.977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18.000.000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18.000.000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832" w:hRule="atLeast"/>
        </w:trPr>
        <w:tc>
          <w:tcPr>
            <w:tcW w:w="36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333" w:type="dxa"/>
            <w:tcBorders>
              <w:top w:val="nil"/>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02</w:t>
            </w:r>
          </w:p>
        </w:tc>
        <w:tc>
          <w:tcPr>
            <w:tcW w:w="833" w:type="dxa"/>
            <w:tcBorders>
              <w:top w:val="nil"/>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Pemasaran dan Peningkatan Penggunaan Produk dalam Negeri di Tingkat Kabupaten/Kota</w:t>
            </w:r>
          </w:p>
        </w:tc>
        <w:tc>
          <w:tcPr>
            <w:tcW w:w="874" w:type="dxa"/>
            <w:tcBorders>
              <w:top w:val="nil"/>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 xml:space="preserve">Jumlah UMKM yang Melakukan Pemasaran Produk Dalam Negeri Melalui Kemitraan dengan Retail, </w:t>
            </w:r>
            <w:r>
              <w:rPr>
                <w:rFonts w:ascii="Arial Narrow" w:hAnsi="Arial Narrow" w:eastAsia="Times New Roman" w:cs="Calibri"/>
                <w:i/>
                <w:iCs/>
                <w:color w:val="000000"/>
                <w:sz w:val="12"/>
                <w:szCs w:val="12"/>
              </w:rPr>
              <w:t>Marketplace</w:t>
            </w:r>
            <w:r>
              <w:rPr>
                <w:rFonts w:ascii="Arial Narrow" w:hAnsi="Arial Narrow" w:eastAsia="Times New Roman" w:cs="Calibri"/>
                <w:color w:val="000000"/>
                <w:sz w:val="12"/>
                <w:szCs w:val="12"/>
              </w:rPr>
              <w:t>, Perhotelan dan Jasa Akomodasi</w:t>
            </w:r>
          </w:p>
        </w:tc>
        <w:tc>
          <w:tcPr>
            <w:tcW w:w="548"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21"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90"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15.500.000 </w:t>
            </w:r>
          </w:p>
        </w:tc>
        <w:tc>
          <w:tcPr>
            <w:tcW w:w="4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5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16.000.000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8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17.200.000 </w:t>
            </w:r>
          </w:p>
        </w:tc>
        <w:tc>
          <w:tcPr>
            <w:tcW w:w="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173"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17.937.657 </w:t>
            </w:r>
          </w:p>
        </w:tc>
        <w:tc>
          <w:tcPr>
            <w:tcW w:w="52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100 UMKM</w:t>
            </w:r>
          </w:p>
        </w:tc>
        <w:tc>
          <w:tcPr>
            <w:tcW w:w="1077"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17.937.657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53"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FFFF"/>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30</w:t>
            </w:r>
          </w:p>
        </w:tc>
        <w:tc>
          <w:tcPr>
            <w:tcW w:w="350"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07</w:t>
            </w:r>
          </w:p>
        </w:tc>
        <w:tc>
          <w:tcPr>
            <w:tcW w:w="333"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2</w:t>
            </w:r>
          </w:p>
        </w:tc>
        <w:tc>
          <w:tcPr>
            <w:tcW w:w="40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Peningkatan Sistem dan Jaringan Informasi Perdagangan</w:t>
            </w:r>
          </w:p>
        </w:tc>
        <w:tc>
          <w:tcPr>
            <w:tcW w:w="874" w:type="dxa"/>
            <w:tcBorders>
              <w:top w:val="single" w:color="auto" w:sz="4" w:space="0"/>
              <w:left w:val="single" w:color="000000" w:sz="4" w:space="0"/>
              <w:bottom w:val="single" w:color="auto" w:sz="4" w:space="0"/>
              <w:right w:val="nil"/>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Data dan Informasi Sistem dan Jaringan Informasi Perdagangan</w:t>
            </w:r>
          </w:p>
        </w:tc>
        <w:tc>
          <w:tcPr>
            <w:tcW w:w="54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70.350.000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71.000.000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72.000.000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73.000.000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 Dokumen</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73.000.000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99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05</w:t>
            </w:r>
          </w:p>
        </w:tc>
        <w:tc>
          <w:tcPr>
            <w:tcW w:w="333"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single" w:color="auto" w:sz="4" w:space="0"/>
              <w:left w:val="nil"/>
              <w:bottom w:val="single" w:color="auto" w:sz="4" w:space="0"/>
              <w:right w:val="single" w:color="auto" w:sz="4" w:space="0"/>
            </w:tcBorders>
            <w:shd w:val="clear" w:color="000000" w:fill="FF0000"/>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Pendidikan dan Latihan Perkoperasian (1)</w:t>
            </w:r>
          </w:p>
        </w:tc>
        <w:tc>
          <w:tcPr>
            <w:tcW w:w="874" w:type="dxa"/>
            <w:tcBorders>
              <w:top w:val="single" w:color="auto" w:sz="4" w:space="0"/>
              <w:left w:val="nil"/>
              <w:bottom w:val="single" w:color="auto" w:sz="4" w:space="0"/>
              <w:right w:val="single" w:color="auto" w:sz="4" w:space="0"/>
            </w:tcBorders>
            <w:shd w:val="clear" w:color="000000" w:fill="FF0000"/>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Pengurus Koperasi yang mendapatkan pendidikan keterampilan (%)</w:t>
            </w:r>
          </w:p>
        </w:tc>
        <w:tc>
          <w:tcPr>
            <w:tcW w:w="54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85.000.000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86.163.650 </w:t>
            </w:r>
          </w:p>
        </w:tc>
        <w:tc>
          <w:tcPr>
            <w:tcW w:w="44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88.320.326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90.439.131 </w:t>
            </w:r>
          </w:p>
        </w:tc>
        <w:tc>
          <w:tcPr>
            <w:tcW w:w="495"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92.597.008 </w:t>
            </w:r>
          </w:p>
        </w:tc>
        <w:tc>
          <w:tcPr>
            <w:tcW w:w="523"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92.597.008 </w:t>
            </w:r>
          </w:p>
        </w:tc>
        <w:tc>
          <w:tcPr>
            <w:tcW w:w="332"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FF0000"/>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310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05</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Pendidikan  dan Latihan Perkoperasian bagi Koperasi yang Wilayah Keanggotaannya dalam Daerah Kabupaten/Kota</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koperasi yang mendapatkan pendidikan dan pelatihan</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86.163.650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88.320.326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90.439.131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92.597.008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60 Koperasi</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92.597.008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832"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05</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01</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Peningkatan pemahaman dan pengetahuan perkoperasian serta kapasitas dan kompetensi SDM koperasi</w:t>
            </w:r>
          </w:p>
        </w:tc>
        <w:tc>
          <w:tcPr>
            <w:tcW w:w="874"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SDM yang Memahami Pengetahuan Perkoperasian</w:t>
            </w:r>
          </w:p>
        </w:tc>
        <w:tc>
          <w:tcPr>
            <w:tcW w:w="54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121"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85.000.000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86.163.650 </w:t>
            </w:r>
          </w:p>
        </w:tc>
        <w:tc>
          <w:tcPr>
            <w:tcW w:w="442"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15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88.320.326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08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90.439.131 </w:t>
            </w:r>
          </w:p>
        </w:tc>
        <w:tc>
          <w:tcPr>
            <w:tcW w:w="49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1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92.597.008 </w:t>
            </w:r>
          </w:p>
        </w:tc>
        <w:tc>
          <w:tcPr>
            <w:tcW w:w="523"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40 Orang</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92.597.008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587"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07</w:t>
            </w:r>
          </w:p>
        </w:tc>
        <w:tc>
          <w:tcPr>
            <w:tcW w:w="333"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00"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 </w:t>
            </w:r>
          </w:p>
        </w:tc>
        <w:tc>
          <w:tcPr>
            <w:tcW w:w="434" w:type="dxa"/>
            <w:tcBorders>
              <w:top w:val="single" w:color="auto" w:sz="4" w:space="0"/>
              <w:left w:val="nil"/>
              <w:bottom w:val="single" w:color="auto" w:sz="4" w:space="0"/>
              <w:right w:val="single" w:color="auto" w:sz="4" w:space="0"/>
            </w:tcBorders>
            <w:shd w:val="clear" w:color="000000" w:fill="538DD5"/>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000000" w:fill="538DD5"/>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Program Pemberdayaan Usaha Menengah, Usaha Kecil dan Usaha Mikro (UMKM) (2)</w:t>
            </w:r>
          </w:p>
        </w:tc>
        <w:tc>
          <w:tcPr>
            <w:tcW w:w="874" w:type="dxa"/>
            <w:tcBorders>
              <w:top w:val="single" w:color="auto" w:sz="4" w:space="0"/>
              <w:left w:val="single" w:color="000000" w:sz="4" w:space="0"/>
              <w:bottom w:val="single" w:color="auto" w:sz="4" w:space="0"/>
              <w:right w:val="single" w:color="000000" w:sz="4" w:space="0"/>
            </w:tcBorders>
            <w:shd w:val="clear" w:color="000000" w:fill="538DD5"/>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Persentase UMKM yang Diberdayakan (%)</w:t>
            </w:r>
          </w:p>
        </w:tc>
        <w:tc>
          <w:tcPr>
            <w:tcW w:w="548" w:type="dxa"/>
            <w:tcBorders>
              <w:top w:val="single" w:color="auto" w:sz="4" w:space="0"/>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523" w:type="dxa"/>
            <w:tcBorders>
              <w:top w:val="single" w:color="auto" w:sz="4" w:space="0"/>
              <w:left w:val="nil"/>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21"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230.000.000 </w:t>
            </w:r>
          </w:p>
        </w:tc>
        <w:tc>
          <w:tcPr>
            <w:tcW w:w="523" w:type="dxa"/>
            <w:tcBorders>
              <w:top w:val="single" w:color="auto" w:sz="4" w:space="0"/>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90"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230.000.000 </w:t>
            </w:r>
          </w:p>
        </w:tc>
        <w:tc>
          <w:tcPr>
            <w:tcW w:w="442" w:type="dxa"/>
            <w:tcBorders>
              <w:top w:val="single" w:color="auto" w:sz="4" w:space="0"/>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52"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235.000.000 </w:t>
            </w:r>
          </w:p>
        </w:tc>
        <w:tc>
          <w:tcPr>
            <w:tcW w:w="523" w:type="dxa"/>
            <w:tcBorders>
              <w:top w:val="single" w:color="auto" w:sz="4" w:space="0"/>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83"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241.000.000 </w:t>
            </w:r>
          </w:p>
        </w:tc>
        <w:tc>
          <w:tcPr>
            <w:tcW w:w="495" w:type="dxa"/>
            <w:tcBorders>
              <w:top w:val="single" w:color="auto" w:sz="4" w:space="0"/>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173"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247.000.000 </w:t>
            </w:r>
          </w:p>
        </w:tc>
        <w:tc>
          <w:tcPr>
            <w:tcW w:w="523" w:type="dxa"/>
            <w:tcBorders>
              <w:top w:val="single" w:color="auto" w:sz="4" w:space="0"/>
              <w:left w:val="single" w:color="000000" w:sz="4" w:space="0"/>
              <w:bottom w:val="single" w:color="auto" w:sz="4" w:space="0"/>
              <w:right w:val="single" w:color="000000" w:sz="4" w:space="0"/>
            </w:tcBorders>
            <w:shd w:val="clear" w:color="000000" w:fill="538DD5"/>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50,00</w:t>
            </w:r>
          </w:p>
        </w:tc>
        <w:tc>
          <w:tcPr>
            <w:tcW w:w="1077" w:type="dxa"/>
            <w:tcBorders>
              <w:top w:val="single" w:color="auto" w:sz="4" w:space="0"/>
              <w:left w:val="single" w:color="auto" w:sz="4" w:space="0"/>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247.000.000 </w:t>
            </w:r>
          </w:p>
        </w:tc>
        <w:tc>
          <w:tcPr>
            <w:tcW w:w="332" w:type="dxa"/>
            <w:tcBorders>
              <w:top w:val="single" w:color="auto" w:sz="4" w:space="0"/>
              <w:left w:val="nil"/>
              <w:bottom w:val="single" w:color="auto" w:sz="4" w:space="0"/>
              <w:right w:val="single" w:color="auto" w:sz="4" w:space="0"/>
            </w:tcBorders>
            <w:shd w:val="clear" w:color="000000" w:fill="538DD5"/>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000000" w:fill="538DD5"/>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568" w:hRule="atLeast"/>
        </w:trPr>
        <w:tc>
          <w:tcPr>
            <w:tcW w:w="36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single" w:color="auto" w:sz="4" w:space="0"/>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07</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833" w:type="dxa"/>
            <w:tcBorders>
              <w:top w:val="single" w:color="auto" w:sz="4" w:space="0"/>
              <w:left w:val="nil"/>
              <w:bottom w:val="single" w:color="auto" w:sz="4" w:space="0"/>
              <w:right w:val="single" w:color="auto" w:sz="4" w:space="0"/>
            </w:tcBorders>
            <w:shd w:val="clear" w:color="auto" w:fill="auto"/>
          </w:tcPr>
          <w:p>
            <w:pPr>
              <w:spacing w:after="0" w:line="240" w:lineRule="auto"/>
              <w:rPr>
                <w:rFonts w:ascii="Arial Narrow" w:hAnsi="Arial Narrow" w:eastAsia="Times New Roman" w:cs="Calibri"/>
                <w:b/>
                <w:bCs/>
                <w:sz w:val="12"/>
                <w:szCs w:val="12"/>
              </w:rPr>
            </w:pPr>
            <w:r>
              <w:rPr>
                <w:rFonts w:ascii="Arial Narrow" w:hAnsi="Arial Narrow" w:eastAsia="Times New Roman" w:cs="Calibri"/>
                <w:b/>
                <w:bCs/>
                <w:sz w:val="12"/>
                <w:szCs w:val="12"/>
              </w:rPr>
              <w:t xml:space="preserve">Pemberdayaan Usaha Mikro yang dilakukan melalui Pendataan, Kemitraan, kemudahan Perizinan, Penguatan kelembagaan dan Koordinasi dengan Para Pemangku Kepentingan </w:t>
            </w:r>
          </w:p>
        </w:tc>
        <w:tc>
          <w:tcPr>
            <w:tcW w:w="874" w:type="dxa"/>
            <w:tcBorders>
              <w:top w:val="single" w:color="auto" w:sz="4" w:space="0"/>
              <w:left w:val="single" w:color="000000" w:sz="4" w:space="0"/>
              <w:bottom w:val="single" w:color="auto" w:sz="4" w:space="0"/>
              <w:right w:val="single" w:color="000000" w:sz="4" w:space="0"/>
            </w:tcBorders>
            <w:shd w:val="clear" w:color="auto" w:fill="auto"/>
          </w:tcPr>
          <w:p>
            <w:pPr>
              <w:spacing w:after="0" w:line="240" w:lineRule="auto"/>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Jumlah UMKM yang diberdayakan melalui pendataan, kemitraan, kemudahan perizinan, penguatan kelembagaan dan koordinasi dengan para pemangku kepentingan</w:t>
            </w:r>
          </w:p>
        </w:tc>
        <w:tc>
          <w:tcPr>
            <w:tcW w:w="548"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523" w:type="dxa"/>
            <w:tcBorders>
              <w:top w:val="single" w:color="auto" w:sz="4" w:space="0"/>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230.000.000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230.000.000 </w:t>
            </w:r>
          </w:p>
        </w:tc>
        <w:tc>
          <w:tcPr>
            <w:tcW w:w="44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235.000.000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241.000.000 </w:t>
            </w:r>
          </w:p>
        </w:tc>
        <w:tc>
          <w:tcPr>
            <w:tcW w:w="49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247.000.000 </w:t>
            </w:r>
          </w:p>
        </w:tc>
        <w:tc>
          <w:tcPr>
            <w:tcW w:w="52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b/>
                <w:bCs/>
                <w:color w:val="000000"/>
                <w:sz w:val="12"/>
                <w:szCs w:val="12"/>
              </w:rPr>
            </w:pPr>
            <w:r>
              <w:rPr>
                <w:rFonts w:ascii="Arial Narrow" w:hAnsi="Arial Narrow" w:eastAsia="Times New Roman" w:cs="Calibri"/>
                <w:b/>
                <w:bCs/>
                <w:color w:val="000000"/>
                <w:sz w:val="12"/>
                <w:szCs w:val="12"/>
              </w:rPr>
              <w:t>150 UMKM</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xml:space="preserve">       247.000.000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095" w:hRule="atLeast"/>
        </w:trPr>
        <w:tc>
          <w:tcPr>
            <w:tcW w:w="36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single" w:color="auto" w:sz="4" w:space="0"/>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single" w:color="auto" w:sz="4" w:space="0"/>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333"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03</w:t>
            </w:r>
          </w:p>
        </w:tc>
        <w:tc>
          <w:tcPr>
            <w:tcW w:w="833" w:type="dxa"/>
            <w:tcBorders>
              <w:top w:val="single" w:color="auto" w:sz="4" w:space="0"/>
              <w:left w:val="nil"/>
              <w:bottom w:val="single" w:color="auto" w:sz="4" w:space="0"/>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Fasilitasi Kemudahan Perizinan Usaha Mikro</w:t>
            </w:r>
          </w:p>
        </w:tc>
        <w:tc>
          <w:tcPr>
            <w:tcW w:w="874" w:type="dxa"/>
            <w:tcBorders>
              <w:top w:val="single" w:color="auto" w:sz="4" w:space="0"/>
              <w:left w:val="single" w:color="000000" w:sz="4" w:space="0"/>
              <w:bottom w:val="single" w:color="000000" w:sz="4" w:space="0"/>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Usaha Mikro yang Telah Mendapatkan Perizinan</w:t>
            </w:r>
          </w:p>
        </w:tc>
        <w:tc>
          <w:tcPr>
            <w:tcW w:w="548"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523" w:type="dxa"/>
            <w:tcBorders>
              <w:top w:val="single" w:color="auto" w:sz="4" w:space="0"/>
              <w:left w:val="nil"/>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12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80.000.000 </w:t>
            </w:r>
          </w:p>
        </w:tc>
        <w:tc>
          <w:tcPr>
            <w:tcW w:w="44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15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83.000.000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86.000.000 </w:t>
            </w:r>
          </w:p>
        </w:tc>
        <w:tc>
          <w:tcPr>
            <w:tcW w:w="49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89.000.000 </w:t>
            </w:r>
          </w:p>
        </w:tc>
        <w:tc>
          <w:tcPr>
            <w:tcW w:w="52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200 Unit Usaha</w:t>
            </w:r>
          </w:p>
        </w:tc>
        <w:tc>
          <w:tcPr>
            <w:tcW w:w="107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89.000.000 </w:t>
            </w:r>
          </w:p>
        </w:tc>
        <w:tc>
          <w:tcPr>
            <w:tcW w:w="33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1834" w:hRule="atLeast"/>
        </w:trPr>
        <w:tc>
          <w:tcPr>
            <w:tcW w:w="366" w:type="dxa"/>
            <w:tcBorders>
              <w:top w:val="nil"/>
              <w:left w:val="single" w:color="auto" w:sz="4" w:space="0"/>
              <w:bottom w:val="nil"/>
              <w:right w:val="single" w:color="auto" w:sz="4" w:space="0"/>
            </w:tcBorders>
            <w:shd w:val="clear" w:color="auto" w:fill="auto"/>
            <w:noWrap/>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c>
          <w:tcPr>
            <w:tcW w:w="717"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683" w:type="dxa"/>
            <w:tcBorders>
              <w:top w:val="nil"/>
              <w:left w:val="nil"/>
              <w:bottom w:val="nil"/>
              <w:right w:val="single" w:color="auto" w:sz="4" w:space="0"/>
            </w:tcBorders>
            <w:shd w:val="clear" w:color="auto" w:fill="auto"/>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800" w:type="dxa"/>
            <w:tcBorders>
              <w:top w:val="nil"/>
              <w:left w:val="nil"/>
              <w:bottom w:val="nil"/>
              <w:right w:val="single" w:color="auto" w:sz="4" w:space="0"/>
            </w:tcBorders>
            <w:shd w:val="clear" w:color="auto" w:fill="auto"/>
            <w:noWrap/>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 </w:t>
            </w:r>
          </w:p>
        </w:tc>
        <w:tc>
          <w:tcPr>
            <w:tcW w:w="384"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333"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17</w:t>
            </w:r>
          </w:p>
        </w:tc>
        <w:tc>
          <w:tcPr>
            <w:tcW w:w="350"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07</w:t>
            </w:r>
          </w:p>
        </w:tc>
        <w:tc>
          <w:tcPr>
            <w:tcW w:w="333"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2</w:t>
            </w:r>
          </w:p>
        </w:tc>
        <w:tc>
          <w:tcPr>
            <w:tcW w:w="400"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01</w:t>
            </w:r>
          </w:p>
        </w:tc>
        <w:tc>
          <w:tcPr>
            <w:tcW w:w="434" w:type="dxa"/>
            <w:tcBorders>
              <w:top w:val="nil"/>
              <w:left w:val="nil"/>
              <w:bottom w:val="nil"/>
              <w:right w:val="single" w:color="auto" w:sz="4" w:space="0"/>
            </w:tcBorders>
            <w:shd w:val="clear" w:color="auto" w:fill="auto"/>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05</w:t>
            </w:r>
          </w:p>
        </w:tc>
        <w:tc>
          <w:tcPr>
            <w:tcW w:w="833" w:type="dxa"/>
            <w:tcBorders>
              <w:top w:val="nil"/>
              <w:left w:val="nil"/>
              <w:bottom w:val="nil"/>
              <w:right w:val="single" w:color="auto" w:sz="4" w:space="0"/>
            </w:tcBorders>
            <w:shd w:val="clear" w:color="000000" w:fill="FFFFFF"/>
          </w:tcPr>
          <w:p>
            <w:pPr>
              <w:spacing w:after="0" w:line="240" w:lineRule="auto"/>
              <w:rPr>
                <w:rFonts w:ascii="Arial Narrow" w:hAnsi="Arial Narrow" w:eastAsia="Times New Roman" w:cs="Calibri"/>
                <w:sz w:val="12"/>
                <w:szCs w:val="12"/>
              </w:rPr>
            </w:pPr>
            <w:r>
              <w:rPr>
                <w:rFonts w:ascii="Arial Narrow" w:hAnsi="Arial Narrow" w:eastAsia="Times New Roman" w:cs="Calibri"/>
                <w:sz w:val="12"/>
                <w:szCs w:val="12"/>
              </w:rPr>
              <w:t>Koordinasi dan Sinkronisasi dengan para Pemangku Kepentingan dalam Pemberdayaan Usaha Mikro</w:t>
            </w:r>
          </w:p>
        </w:tc>
        <w:tc>
          <w:tcPr>
            <w:tcW w:w="874" w:type="dxa"/>
            <w:tcBorders>
              <w:top w:val="nil"/>
              <w:left w:val="single" w:color="000000" w:sz="4" w:space="0"/>
              <w:bottom w:val="nil"/>
              <w:right w:val="single" w:color="000000" w:sz="4" w:space="0"/>
            </w:tcBorders>
            <w:shd w:val="clear" w:color="auto" w:fill="auto"/>
          </w:tcPr>
          <w:p>
            <w:pPr>
              <w:spacing w:after="0" w:line="240" w:lineRule="auto"/>
              <w:rPr>
                <w:rFonts w:ascii="Arial Narrow" w:hAnsi="Arial Narrow" w:eastAsia="Times New Roman" w:cs="Calibri"/>
                <w:color w:val="000000"/>
                <w:sz w:val="12"/>
                <w:szCs w:val="12"/>
              </w:rPr>
            </w:pPr>
            <w:r>
              <w:rPr>
                <w:rFonts w:ascii="Arial Narrow" w:hAnsi="Arial Narrow" w:eastAsia="Times New Roman" w:cs="Calibri"/>
                <w:color w:val="000000"/>
                <w:sz w:val="12"/>
                <w:szCs w:val="12"/>
              </w:rPr>
              <w:t>Jumlah SDM yang Telah Melakukan Koordinasi dan Sinkronisasi dengan Para Pemangku Kepentingan dalam Pemberdayaan Usaha Mikro</w:t>
            </w:r>
          </w:p>
        </w:tc>
        <w:tc>
          <w:tcPr>
            <w:tcW w:w="548" w:type="dxa"/>
            <w:tcBorders>
              <w:top w:val="nil"/>
              <w:left w:val="nil"/>
              <w:bottom w:val="nil"/>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523" w:type="dxa"/>
            <w:tcBorders>
              <w:top w:val="nil"/>
              <w:left w:val="nil"/>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121"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09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150.000.000 </w:t>
            </w:r>
          </w:p>
        </w:tc>
        <w:tc>
          <w:tcPr>
            <w:tcW w:w="442"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152.000.000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08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155.000.000 </w:t>
            </w:r>
          </w:p>
        </w:tc>
        <w:tc>
          <w:tcPr>
            <w:tcW w:w="495"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173"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158.000.000 </w:t>
            </w:r>
          </w:p>
        </w:tc>
        <w:tc>
          <w:tcPr>
            <w:tcW w:w="523" w:type="dxa"/>
            <w:tcBorders>
              <w:top w:val="nil"/>
              <w:left w:val="single" w:color="000000" w:sz="4" w:space="0"/>
              <w:bottom w:val="single" w:color="auto" w:sz="4" w:space="0"/>
              <w:right w:val="single" w:color="000000" w:sz="4" w:space="0"/>
            </w:tcBorders>
            <w:shd w:val="clear" w:color="auto" w:fill="auto"/>
            <w:vAlign w:val="center"/>
          </w:tcPr>
          <w:p>
            <w:pPr>
              <w:spacing w:after="0" w:line="240" w:lineRule="auto"/>
              <w:jc w:val="center"/>
              <w:rPr>
                <w:rFonts w:ascii="Arial Narrow" w:hAnsi="Arial Narrow" w:eastAsia="Times New Roman" w:cs="Calibri"/>
                <w:color w:val="000000"/>
                <w:sz w:val="12"/>
                <w:szCs w:val="12"/>
              </w:rPr>
            </w:pPr>
            <w:r>
              <w:rPr>
                <w:rFonts w:ascii="Arial Narrow" w:hAnsi="Arial Narrow" w:eastAsia="Times New Roman" w:cs="Calibri"/>
                <w:color w:val="000000"/>
                <w:sz w:val="12"/>
                <w:szCs w:val="12"/>
              </w:rPr>
              <w:t>150 Orang</w:t>
            </w:r>
          </w:p>
        </w:tc>
        <w:tc>
          <w:tcPr>
            <w:tcW w:w="1077"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xml:space="preserve">       158.000.000 </w:t>
            </w:r>
          </w:p>
        </w:tc>
        <w:tc>
          <w:tcPr>
            <w:tcW w:w="332" w:type="dxa"/>
            <w:tcBorders>
              <w:top w:val="nil"/>
              <w:left w:val="nil"/>
              <w:bottom w:val="single" w:color="auto" w:sz="4" w:space="0"/>
              <w:right w:val="single" w:color="auto" w:sz="4" w:space="0"/>
            </w:tcBorders>
            <w:shd w:val="clear" w:color="auto" w:fill="auto"/>
            <w:noWrap/>
            <w:vAlign w:val="center"/>
          </w:tcPr>
          <w:p>
            <w:pPr>
              <w:spacing w:after="0" w:line="240" w:lineRule="auto"/>
              <w:jc w:val="right"/>
              <w:rPr>
                <w:rFonts w:ascii="Arial Narrow" w:hAnsi="Arial Narrow" w:eastAsia="Times New Roman" w:cs="Calibri"/>
                <w:sz w:val="12"/>
                <w:szCs w:val="12"/>
              </w:rPr>
            </w:pPr>
            <w:r>
              <w:rPr>
                <w:rFonts w:ascii="Arial Narrow" w:hAnsi="Arial Narrow" w:eastAsia="Times New Roman" w:cs="Calibri"/>
                <w:sz w:val="12"/>
                <w:szCs w:val="12"/>
              </w:rPr>
              <w:t> </w:t>
            </w:r>
          </w:p>
        </w:tc>
        <w:tc>
          <w:tcPr>
            <w:tcW w:w="73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Arial Narrow" w:hAnsi="Arial Narrow" w:eastAsia="Times New Roman" w:cs="Calibri"/>
                <w:sz w:val="12"/>
                <w:szCs w:val="12"/>
              </w:rPr>
            </w:pPr>
            <w:r>
              <w:rPr>
                <w:rFonts w:ascii="Arial Narrow" w:hAnsi="Arial Narrow" w:eastAsia="Times New Roman" w:cs="Calibri"/>
                <w:sz w:val="12"/>
                <w:szCs w:val="12"/>
              </w:rPr>
              <w:t> </w:t>
            </w:r>
          </w:p>
        </w:tc>
      </w:tr>
      <w:tr>
        <w:tblPrEx>
          <w:tblCellMar>
            <w:top w:w="0" w:type="dxa"/>
            <w:left w:w="108" w:type="dxa"/>
            <w:bottom w:w="0" w:type="dxa"/>
            <w:right w:w="108" w:type="dxa"/>
          </w:tblCellMar>
        </w:tblPrEx>
        <w:trPr>
          <w:trHeight w:val="275" w:hRule="atLeast"/>
        </w:trPr>
        <w:tc>
          <w:tcPr>
            <w:tcW w:w="6507" w:type="dxa"/>
            <w:gridSpan w:val="12"/>
            <w:tcBorders>
              <w:top w:val="single" w:color="auto" w:sz="4" w:space="0"/>
              <w:left w:val="single" w:color="auto" w:sz="4" w:space="0"/>
              <w:bottom w:val="single" w:color="auto" w:sz="4" w:space="0"/>
              <w:right w:val="single" w:color="auto" w:sz="4" w:space="0"/>
            </w:tcBorders>
            <w:shd w:val="clear" w:color="000000" w:fill="FFFFFF"/>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JUMLAH</w:t>
            </w:r>
          </w:p>
        </w:tc>
        <w:tc>
          <w:tcPr>
            <w:tcW w:w="548"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 </w:t>
            </w:r>
          </w:p>
        </w:tc>
        <w:tc>
          <w:tcPr>
            <w:tcW w:w="1644"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9.363.450.000</w:t>
            </w:r>
          </w:p>
        </w:tc>
        <w:tc>
          <w:tcPr>
            <w:tcW w:w="1613"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9.491.635.631</w:t>
            </w:r>
          </w:p>
        </w:tc>
        <w:tc>
          <w:tcPr>
            <w:tcW w:w="1594"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9.780.462.769</w:t>
            </w:r>
          </w:p>
        </w:tc>
        <w:tc>
          <w:tcPr>
            <w:tcW w:w="1606"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center"/>
              <w:rPr>
                <w:rFonts w:ascii="Arial Narrow" w:hAnsi="Arial Narrow" w:eastAsia="Times New Roman" w:cs="Calibri"/>
                <w:b/>
                <w:bCs/>
                <w:sz w:val="12"/>
                <w:szCs w:val="12"/>
              </w:rPr>
            </w:pPr>
            <w:r>
              <w:rPr>
                <w:rFonts w:ascii="Arial Narrow" w:hAnsi="Arial Narrow" w:eastAsia="Times New Roman" w:cs="Calibri"/>
                <w:b/>
                <w:bCs/>
                <w:sz w:val="12"/>
                <w:szCs w:val="12"/>
              </w:rPr>
              <w:t>10.015.096.102</w:t>
            </w:r>
          </w:p>
        </w:tc>
        <w:tc>
          <w:tcPr>
            <w:tcW w:w="1668"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10.307.789.485</w:t>
            </w:r>
          </w:p>
        </w:tc>
        <w:tc>
          <w:tcPr>
            <w:tcW w:w="1600" w:type="dxa"/>
            <w:gridSpan w:val="2"/>
            <w:tcBorders>
              <w:top w:val="single" w:color="auto" w:sz="4" w:space="0"/>
              <w:left w:val="nil"/>
              <w:bottom w:val="double" w:color="auto" w:sz="6" w:space="0"/>
              <w:right w:val="single" w:color="000000" w:sz="4" w:space="0"/>
            </w:tcBorders>
            <w:shd w:val="clear" w:color="auto" w:fill="auto"/>
          </w:tcPr>
          <w:p>
            <w:pPr>
              <w:spacing w:after="0" w:line="240" w:lineRule="auto"/>
              <w:jc w:val="right"/>
              <w:rPr>
                <w:rFonts w:ascii="Arial Narrow" w:hAnsi="Arial Narrow" w:eastAsia="Times New Roman" w:cs="Calibri"/>
                <w:b/>
                <w:bCs/>
                <w:sz w:val="12"/>
                <w:szCs w:val="12"/>
              </w:rPr>
            </w:pPr>
            <w:r>
              <w:rPr>
                <w:rFonts w:ascii="Arial Narrow" w:hAnsi="Arial Narrow" w:eastAsia="Times New Roman" w:cs="Calibri"/>
                <w:b/>
                <w:bCs/>
                <w:sz w:val="12"/>
                <w:szCs w:val="12"/>
              </w:rPr>
              <w:t>10.307.789.485</w:t>
            </w:r>
          </w:p>
        </w:tc>
        <w:tc>
          <w:tcPr>
            <w:tcW w:w="332" w:type="dxa"/>
            <w:tcBorders>
              <w:top w:val="single" w:color="auto" w:sz="4" w:space="0"/>
              <w:left w:val="nil"/>
              <w:bottom w:val="double" w:color="auto" w:sz="6" w:space="0"/>
              <w:right w:val="nil"/>
            </w:tcBorders>
            <w:shd w:val="clear" w:color="auto" w:fill="auto"/>
          </w:tcPr>
          <w:p>
            <w:pPr>
              <w:spacing w:after="0" w:line="240" w:lineRule="auto"/>
              <w:jc w:val="right"/>
              <w:rPr>
                <w:rFonts w:ascii="Arial Narrow" w:hAnsi="Arial Narrow" w:eastAsia="Times New Roman" w:cs="Calibri"/>
                <w:b/>
                <w:bCs/>
                <w:sz w:val="12"/>
                <w:szCs w:val="12"/>
              </w:rPr>
            </w:pPr>
          </w:p>
        </w:tc>
        <w:tc>
          <w:tcPr>
            <w:tcW w:w="738" w:type="dxa"/>
            <w:tcBorders>
              <w:top w:val="single" w:color="auto" w:sz="4" w:space="0"/>
              <w:left w:val="single" w:color="auto" w:sz="4" w:space="0"/>
              <w:bottom w:val="double" w:color="auto" w:sz="6" w:space="0"/>
              <w:right w:val="double" w:color="auto" w:sz="6" w:space="0"/>
            </w:tcBorders>
            <w:shd w:val="clear" w:color="auto" w:fill="auto"/>
          </w:tcPr>
          <w:p>
            <w:pPr>
              <w:spacing w:after="0" w:line="240" w:lineRule="auto"/>
              <w:jc w:val="center"/>
              <w:rPr>
                <w:rFonts w:ascii="Arial Narrow" w:hAnsi="Arial Narrow" w:eastAsia="Times New Roman" w:cs="Calibri"/>
                <w:sz w:val="12"/>
                <w:szCs w:val="12"/>
              </w:rPr>
            </w:pPr>
          </w:p>
        </w:tc>
      </w:tr>
    </w:tbl>
    <w:p>
      <w:pPr>
        <w:spacing w:after="0" w:line="240" w:lineRule="auto"/>
        <w:rPr>
          <w:rFonts w:ascii="Bookman Old Style" w:hAnsi="Bookman Old Style" w:eastAsia="Times New Roman" w:cs="Tahoma"/>
          <w:sz w:val="7"/>
          <w:szCs w:val="7"/>
          <w:lang w:eastAsia="id-ID"/>
        </w:rPr>
      </w:pPr>
      <w:bookmarkStart w:id="0" w:name="_MON_1684617998"/>
      <w:bookmarkEnd w:id="0"/>
    </w:p>
    <w:p>
      <w:pPr>
        <w:spacing w:after="0" w:line="240" w:lineRule="auto"/>
        <w:rPr>
          <w:rFonts w:ascii="Bookman Old Style" w:hAnsi="Bookman Old Style" w:eastAsia="Times New Roman" w:cs="Tahoma"/>
          <w:sz w:val="7"/>
          <w:szCs w:val="7"/>
          <w:lang w:eastAsia="id-ID"/>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r>
        <w:rPr>
          <w:rFonts w:ascii="Arial Narrow" w:hAnsi="Arial Narrow" w:eastAsia="Times New Roman" w:cs="Calibri"/>
          <w:b/>
          <w:bCs/>
          <w:sz w:val="16"/>
          <w:szCs w:val="16"/>
        </w:rPr>
        <w:t>(Tabel 6.3.2) Rencana Program, Indikator Kinerja, Kelompok Sasaran, dan Pendanaan Indikatif ( Berdasarkan Kepmendagri 050- 5889  Tahun 2021 )</w:t>
      </w:r>
    </w:p>
    <w:p>
      <w:pPr>
        <w:spacing w:after="0" w:line="240" w:lineRule="auto"/>
        <w:jc w:val="center"/>
        <w:rPr>
          <w:rFonts w:ascii="Arial Narrow" w:hAnsi="Arial Narrow" w:eastAsia="Times New Roman" w:cs="Calibri"/>
          <w:b/>
          <w:bCs/>
          <w:sz w:val="16"/>
          <w:szCs w:val="16"/>
        </w:rPr>
      </w:pPr>
    </w:p>
    <w:tbl>
      <w:tblPr>
        <w:tblStyle w:val="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7"/>
        <w:gridCol w:w="816"/>
        <w:gridCol w:w="860"/>
        <w:gridCol w:w="1340"/>
        <w:gridCol w:w="1639"/>
        <w:gridCol w:w="807"/>
        <w:gridCol w:w="545"/>
        <w:gridCol w:w="866"/>
        <w:gridCol w:w="565"/>
        <w:gridCol w:w="866"/>
        <w:gridCol w:w="565"/>
        <w:gridCol w:w="866"/>
        <w:gridCol w:w="545"/>
        <w:gridCol w:w="1189"/>
        <w:gridCol w:w="485"/>
        <w:gridCol w:w="1189"/>
        <w:gridCol w:w="545"/>
        <w:gridCol w:w="1244"/>
        <w:gridCol w:w="911"/>
        <w:gridCol w:w="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Tujuan</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Sasaran</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Kode</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Program/Kegiatan/Sub Kegiatan</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Indikator Kinerja Program (Outcome) / Kegiatan (Output)</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b/>
                <w:bCs/>
                <w:color w:val="000000"/>
                <w:sz w:val="13"/>
                <w:szCs w:val="13"/>
                <w:lang w:eastAsia="zh-CN" w:bidi="ar"/>
              </w:rPr>
              <w:t>Data Capaian pada Tahun Awal</w:t>
            </w:r>
            <w:r>
              <w:rPr>
                <w:rFonts w:ascii="Cambria" w:hAnsi="Cambria" w:eastAsia="Cambria" w:cs="Cambria"/>
                <w:b/>
                <w:bCs/>
                <w:color w:val="000000"/>
                <w:sz w:val="13"/>
                <w:szCs w:val="13"/>
                <w:lang w:eastAsia="zh-CN" w:bidi="ar"/>
              </w:rPr>
              <w:br w:type="textWrapping"/>
            </w:r>
            <w:r>
              <w:rPr>
                <w:rFonts w:ascii="Cambria" w:hAnsi="Cambria" w:eastAsia="Cambria" w:cs="Cambria"/>
                <w:b/>
                <w:bCs/>
                <w:color w:val="000000"/>
                <w:sz w:val="13"/>
                <w:szCs w:val="13"/>
                <w:lang w:eastAsia="zh-CN" w:bidi="ar"/>
              </w:rPr>
              <w:t>Perencanaan</w:t>
            </w:r>
          </w:p>
        </w:tc>
        <w:tc>
          <w:tcPr>
            <w:tcW w:w="0" w:type="auto"/>
            <w:gridSpan w:val="10"/>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Target Kinerja Program dan Kerangka Pendanaan</w:t>
            </w:r>
          </w:p>
        </w:tc>
        <w:tc>
          <w:tcPr>
            <w:tcW w:w="0" w:type="auto"/>
            <w:gridSpan w:val="2"/>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Kondisi Kinerja pada akhir periode Renstra Perangkat Daerah</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Unit Kerja Perangkat Daerah Penanggung-jawab</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Times New Roman" w:hAnsi="Times New Roman" w:eastAsia="Times New Roman" w:cs="Times New Roman"/>
                <w:color w:val="000000"/>
                <w:sz w:val="13"/>
                <w:szCs w:val="13"/>
              </w:rPr>
            </w:pP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Tahun-1 (2022)</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Tahun-2 (2023)</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Tahun-3 (2024)</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Tahun-4 (2025)</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Tahun-5 (2026)</w:t>
            </w:r>
          </w:p>
        </w:tc>
        <w:tc>
          <w:tcPr>
            <w:tcW w:w="0" w:type="auto"/>
            <w:gridSpan w:val="2"/>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(6)</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(7)</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(8)</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(9)</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(10)</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(11)</w:t>
            </w:r>
          </w:p>
        </w:tc>
        <w:tc>
          <w:tcPr>
            <w:tcW w:w="0" w:type="auto"/>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(12)</w:t>
            </w: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K</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ind w:firstLine="390" w:firstLineChars="300"/>
              <w:jc w:val="lef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Rp</w:t>
            </w:r>
          </w:p>
        </w:tc>
        <w:tc>
          <w:tcPr>
            <w:tcW w:w="0" w:type="auto"/>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Meningkatkan kemandirian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Cakupan kemandirian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9,94</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11,17</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12,75</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13,98</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15,21</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16,43</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16,43</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Meningkatnya kualitas kelembagaan, produktivitas dan daya saing serta kemandirian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kemandirian Koperasi dan BPR/LKM Mandiri</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17,39</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18,84</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21,01</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22,46</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23,91</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25,36</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25,36</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Kemandirian UMK</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2,17,02</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PELAYANAN IZIN USAHA SIMPAN PINJAM</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Koperasi yang mendapatkan izin usaha simpan pinjam</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10,250,300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10,496,205</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10,746,644</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41,493,149</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2.17.02.2.01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Izin Usaha Simpan Pinjam untuk Koperasi dengan Wilayah Keanggotaan dalam</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yang mendapatkan izin usaha</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5,125,150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5,248,103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5,373,322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20,746,575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2.17.02.2.01.01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Pemenuhan Izin Usaha Simpan Pinjam  dan Pembukaan Kantor Cabang, Cabang Pembantu dan Kantor Kas Koperasi Simpan Pinjam untuk Koperasi dengan Wilayah Keanggotaan dalam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Usaha Simpan Pinjam dan Pembukaan Kantor Cabang, Cabang Pembantu dan Kantor Kas Koperasi Simpan Pinjam untuk Koperasi dengan Wilayah Keanggotaan dalam Daerah Kabupaten/Kota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5,125,150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5,248,103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5,373,322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20,746,575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2.17.02.2.02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Izin Pembukaan Kantor Cabang,</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Cabang Pembantu dan Kantor Kas Koperasi Simpan Pinjam untuk Koperasi dengan Wilayah Keanggotaan dalam</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simpan pinjam yang mendapatkan Izin pembukaan kantor cabang,cabang pembantu dan kantor kas.</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5,125,150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5,248,102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5,373,322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20,746,574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2.17.02.2.02.01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Pemenuhan Izin Usaha Pembukaan Kantor Cabang, Cabang Pembantu dan Kantor Kas Koperasi Simpan Pinjam untuk Koperasi dengan Wilayah Keanggotaan dalam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Kantor Cabang, Cabang Pembantu dan Kantor Kas Koperasi Simpan Pinjam untuk Koperasi dengan Wilayah Keanggotaan dalam Daerah Kabupaten/Kota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5,125,150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5,248,102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5,373,322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20,746,574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2,17,03</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PENGAWASAN DAN PEMERIKSAAN KOPERASI</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koperasi sehat</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121,642,800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124,687,519</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127,678,773</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130,725,188</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624,734,280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2.17.03.2.01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Pemeriksaan dan Pengawasan Koperasi, Koperasi Simpan Pinjam/Unit Simpan Pinjam Koperasi yang Wilayah Keanggotaannya dalam Daerah Kabupaten/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Koperasi Simpan Pinjam/Unit Simpan Pinjam yang diperiksa dan diawasi</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121,642,800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124,687,519</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127,678,773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130,725,188</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624,734,280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2.17.03.2.01.01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 Kekuatan, Kesehatan, Kemandirian, Ketangguhan, serta Akuntabilitas Koperasi Kewenangan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Koperasi yang Telah Dilakukan Pengawasan Kekuatan, Kesehatan, Kemandirian, Ketangguhan, serta Akuntabilitas Koperasi Kewenangan Kabupaten/Kota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70,642,800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72,687,519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73,678,773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74,725,188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361,734,280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2.17.03.2.01.02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Pemeriksaan Kepatuhan Koperasi Terhadap Peraturan Perundang- Undangan Kewenangan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Koperasi yang Memenuhi Peraturan Perundang-Undangan Kewenangan Kabupaten/Kota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Kinerja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2,17,04</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PENILAIAN KESEHATAN KSP/USP KOPERASI</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koperasi KSP/USP yang sehat</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125,000,000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126,711,250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129,882,833</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132,998,722</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136,172,071</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650,764,876</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2.17.04.2.01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Penilaian Kesehatan Koperasi Simpan Pinjam/Unit Simpan Pinjam Koperasi yang Wilayah Keanggotaannya dalam 1 (satu)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yang Sehat organisasi, Sehat Usaha dan Sehat Administrasi</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126,711,250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129,882,833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132,998,722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136,172,071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650,764,876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2.17.04.2.01.01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Pelaksanaan Penilaian Kesehatan KSP/USP Koperasi Kewenangan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Usaha Koperasi yang Telah Dilakukan Penilaian Kesehatan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2.17.04.2.01.02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Penghargaan Kesehatan KSP/USP Koperasi Kewenangan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yang Mendapatkan Penghargaan Kesehatan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90,711,250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92,882,833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93,998,722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96,172,071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463,764,876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PENDIDIKAN DAN LATIHAN PERKOPERASIAN</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Pengurus Koperasi yang mendapatkan pendidikan keterampilan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172,327,300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176,640,652</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180,878,262</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185,194,017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885,040,231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2.17.05.2.01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Pendidikan dan Latihan Perkoperasian bagi Koperasi yang Wilayah Keanggotaan dalam</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yang mendapatkan pendidikan dan pelatihan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172,327,300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176,640,652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180,878,262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185,194,017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885,040,231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2.17.05.2.01.01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Peningkatan Pemahaman dan Pengetahuan Perkoperasian serta Kapasitas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KompetensiSDM Koperasi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SDM yang Memahami Pengetahuan Perkoperasian (Orang)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172,327,300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176,640,652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180,878,262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185,194,017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885,040,231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2,17,06</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PEMBERDAYAAN DAN PERLINDUNGAN KOPERASI</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Koperasi yang Diberdayakan dan mendapatkan perlindungan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187,532,650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192,226,592</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196,838,108</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201,534,665</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963,132,015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2.17.06.2.01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Pemberdayaan dan Perlindungan Koperasi yang Keanggotaannya dalam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Koperasi Sehat</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187,532,650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192,226,592</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196,838,108</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201,534,665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963,132,015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2.17.06.2.01.01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Pemberdayaan Peningkatan Produktivitas, Nilai Tambah, Akses Pasar, Akses Pembiayaan, Penguatan Kelembagaan, Penataan Manajemen, Standarisasi, dan Restrukturisasi Usaha Koperasi Kewenangan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SDM yang Memahami Pengetahuan UKM dan Kewirausahaan (Orang)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187,532,650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192,226,592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196,838,108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201,534,665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963,132,015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PROGRAM PEMBERDAYAAN USAHA MENENGAH, USAHA KECIL, DAN USAHA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MIKRO (UMKM)</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UMKM yang Diberdayakan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598,214,000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613,187,296</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627,897,660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642,879,298</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3,082,178,254</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Pemberdayaan Usaha Mikro yang Dilakukan melalui Pendataan, Kemitraan, Kemudahan Perizinan, Penguatan Kelembagaan dan Koordinasi dengan Para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Pemangku Kepentingan</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UMKM yang naik kelas</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598,214,000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613,187,296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627,897,660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642,879,298</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3,082,178,254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Pendataan Potensi dan Pengembangan Usaha Mikro</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Unit Usaha yang Produktif, Bernilai Tambah, Memiliki Akses Pasar, Akses Pembiayaan, Penguatan Kelembagaan, Penataan Manajemen, Standarisasi, dan Restrukturisasi Usaha Koperasi Kewenangan Kabupaten/Kota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98,214,000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101,187,296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102,897,660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105,879,298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508,178,254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Pemberdayaan Melalui Kemitraan Usaha Mikro</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Usaha yang Telah MelaksanakanKemitraan Usaha Mikro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767,000,000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Kemudahan Perizinan Usaha Mikro</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Usaha Mikro yang Telah MendapatkanPerizinan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418,000,000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Pemberdayaan Kelembagaan Potensi dan Pengembangan Usaha Mikro</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Usaha yang Telah Menerima Pembinaan dan Pendampingan Terhadap UsahaMikro (Unit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2.17.07.2.01.05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Sinkronisasi dengan Para Pemangku Kepentingan dalam Pemberdayaan Usaha Mikro</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SDM yang Telah Melakukan Koordinasi dan Sinkronisasi dengan Para Pemangku Kepentingan dalam Pemberdayaan Usaha Mikro</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765,000,000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2,17,08</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PENGEMBANGAN UMKM</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UMKM yang ditingkatkan kapasitasnya</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475,000,000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481,502,750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493,554,764</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505,395,143</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517,453,871</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2,472,906,528</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2.17.08.2.01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Pengembangan Usaha Mikro dengan Orientasi Peningkatan Skala Usaha menjadi Usaha Kecil</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UMKM yang Naik kelas dari Usaha Mikro menjadi Usaha Kecil melalui Pusat layanan usaha Terpadu (PLUT)</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475,000,000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481,502,750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493,554,764</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505,395,143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517,453,871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2,472,906,528</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2.17.08.2.01.01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Usaha Mikro Menjadi Usaha Kecil dalam Pengembangan Produksi dan Pengolahan, Pemasaran, SDM, serta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Desain dan Teknologi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Unit Usaha Mikro yang Terfasilitasi dalam Pengembangan Produksi dan Pengolahan, Pemasaran, SDM, serta Desain dan Teknologi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(Unit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475,000,000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481,502,750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493,554,764</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505,395,143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517,453,871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2,472,906,528</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Mewujudkan reformasi birokrasi perangkat</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Indeks Reformasi birokrasi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66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74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78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82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82 (B)</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Meningkatkan kepercayaan masyarakat terhadap pelayanan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Nilai SAKIP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ind w:firstLine="130" w:firstLineChars="100"/>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60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65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70 (BB)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75 (BB)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80 (A)</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80 (A)</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80 (A)</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Cambria" w:hAnsi="Cambria" w:eastAsia="Cambria" w:cs="Cambria"/>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Laporan keuangan OPD sesuai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Standar Akuntansi Pemerintahan</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Sesuai</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Cambria" w:hAnsi="Cambria" w:eastAsia="Cambria" w:cs="Cambria"/>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Indeks kepuasan masyarakat terhadap pelayanan perangkat</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78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80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82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84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 (B)</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PROGRAM PENUNJANG URUSAN PEMERINTAHAN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Capaian Kinerja</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70.53</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5,189,923,872</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71.51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5,405,318,095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72.31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5,644,329,596</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72.31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16,239,571,563</w:t>
            </w: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left"/>
              <w:rPr>
                <w:rFonts w:ascii="Cambria" w:hAnsi="Cambria" w:eastAsia="Cambria" w:cs="Cambria"/>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Capaian Kinerja Keuangan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center"/>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Perencanaan, Penganggaran, dan Evaluasi Kinerja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Dokumen Perencanaan, Penganggaran dan Evaluasi Kinerja yang tersusun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156,000,000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183,000,000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546,000,000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Penyusunan Dokumen Perencanaan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Perencanaan Perangkat Daerah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Dokumen RKA-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RKA-SKPD dan Laporan Hasil Koordinasi Penyusunan Dokumen RKA- SKPD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Dokumen Perubahan RKA-SKPD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Perubahan RKA-SKPD dan Laporan Hasil Koordinasi Penyusunan Dokumen Perubahan RKA-SKPD</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DPA-SKPD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DPA-SKPD dan Laporan Hasil Koordinasi Penyusunan Dokumen DPA- SKPD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Perubahan DPA-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Perubahan DPA-SKPD dan Laporan Hasil Koordinasi Penyusunan Dokumen Perubahan DPA-SKPD</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Laporan Capaian Kinerja dan Ikhtisar Realisasi Kinerja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Capaian Kinerja dan Ikhtisar Realisasi Kinerja SKPD dan Laporan Hasil Koordinasi Penyusunan Laporan Capaian Kinerja dan Ikhtisar Realisasi Kinerja SKPD</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0.00.01.2.01.07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Evaluasi Kinerja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Evaluasi Kinerja PerangkatDaerah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Administrasi Keuangan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Peningkatan Laporan Capaian Kinerja dan Keuangan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3,153,709,507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3,259,909,507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3,368,109,507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9,781,728,521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0.00.01.2.02.01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Gaji dan Tunjangan ASN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Orang yang Menerima Gaji dan Tunjangan ASN (Orang/bulan)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3,118,409,507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3,218,409,507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3,318,409,507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9,655,228,521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0.00.01.2.02.05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Laporan Keuangan Akhir Tahun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Keuangan Akhir Tahun SKPD dan Laporan Hasil Koordinasi Penyusunan Laporan Keuangan Akhir Tahun SKPD</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0.00.01.2.02.07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Penyusunan Laporan Keuangan Bulanan/ Triwulanan/ Semesteran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Keuangan Bulanan/ Triwulanan/ Semesteran SKPD dan Laporan Koordinasi Penyusunan Laporan Keuangan Bulanan/Triwulanan/Semesteran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SKPD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0.00.01.2.02.08</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Penyusunan Pelaporan dan Analisis PrognosisRealisasi Anggaran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Pelaporan dan AnalisisPrognosis Realisasi Anggaran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Administrasi Barang Milik Daerah pada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Laporan Administrasi BMD yang tersusun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0.00.01.2.03.01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Penyusunan Perencanaan Kebutuhan BarangMilik Daerah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Rencana Kebutuhan Barang MilikDaerah SKPD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0.00.01.2.03.04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Pembinaan, Pengawasan, dan Pengendalian Barang Milik Daerah pada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Hasil Pembinaan, Pengawasan,dan Pengendalian Barang Milik Daerah pada SKPD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0.00.01.2.03.05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Rekonsiliasi dan Penyusunan Laporan Barang Milik Daerah pada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Rekonsiliasi  dan Penyusunan Laporan Barang Milik Daerah pada SKPD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0.00.01.2.03.06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Penatausahaan Barang Milik Daerah pada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Penatausahaan Barang MilikDaerah pada SKPD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Administrasi Pendapatan Daerah Kewenangan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Dokumen Administrasi Pendapatan daerah yang tersususn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0.00.01.2.04.01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Perencanaan Pengelolaan Retribusi 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Rencana Pengelolaan RetribusiDaerah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0.00.01.2.04.03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Penyuluhan dan Penyebarluasan Kebijakan Retribusi 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Hasil Penyuluhan dan Penyebarluasan Kebijakan Retribusi Daerah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0.00.01.2.04.04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Pendataan dan Pendaftaran Objek RetribusiDaerah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Data Objek, Subjek dan Wajib RetribusiDaerah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0.00.01.2.04.05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Pengolahan Data Retribusi Daerah</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Hasil Pengolahan, Pemeliharaan, dan Pelaporan Data RetribusiDaerah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Administrasi Kepegawaian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peningkatan administrasi kepegawaian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102,500,000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116,200,000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137,914,383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356,614,383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0.00.01.2.05.02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Pakaian Dinas beserta AtributKelengkapannya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Paket Pakaian Dinas beserta AtributKelengkapan (Paket)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0.00.01.2.05.03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Pendataan dan Pengolahan AdministrasiKepegawaian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Pendataan dan PengolahanAdministrasi Kepegawaian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22,914,383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54,914,383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0.00.01.2.05.05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Monitoring, Evaluasi, dan Penilaian KinerjaPegawai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Monitoring, Evaluasi, danPenilaian Kinerja Pegawai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0.00.01.2.05.09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Pendidikan dan Pelatihan Pegawai Berdasarkan Tugas dan Fungsi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Pegawai Berdasarkan Tugas dan Fungsi yang Mengikuti Pendidikan dan Pelatihan (Orang)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0.00.01.2.05.11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Bimbingan Teknis Implementasi Peraturan Perundang-Undangan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Orang yang Mengikuti Bimbingan Teknis Implementasi Peraturan Perundang-Undangan (Orang)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29,200,000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91,700,000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Administrasi Umum Perangkat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Kelancaran Administras dan Operasional Perkantoran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668,500,000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699,900,000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736,500,000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2,104,900,000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Peralatan dan Perlengkapan Kantor</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Paket Peralatan dan PerlengkapanKantor yang Disediakan (Paket)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Barang Cetakan dan Penggandaan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Paket Barang Cetakan dan Penggandaanyang Disediakan (Paket)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Bahan Bacaan dan Peraturan Perundang-undangan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Bahan Bacaan dan Peraturan Perundang- Undangan yang Disediakan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14,500,000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0.00.01.2.06.08</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Kunjungan Tamu</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Fasilitasi Kunjungan Tamu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1520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0.00.01.2.06.09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Penyelenggaraan Rapat Koordinasi danKonsultasi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Penyelenggaraan RapatKoordinasi dan Konsultasi SKPD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365,500,000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375,900,000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836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1,138,400,000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Penatausahaan Arsip Dinamis pada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Penatausahaan Arsip Dinamispada SKPD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0.00.01.2.06.11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Dukungan Pelaksanaan Sistem Pemerintahan Berbasis Elektronik pada SKPD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Dukungan PelaksanaanSistem Pemerintahan Berbasis Elektronik pada SKPD</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3.30.01.2.07</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Barang Milik Daerah Penunjang Urusan Pemerintah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Kelancaran Administrasi, Keuangan dan Operasional Perkantoran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434,000,000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467,000,000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1,351,000,000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0.00.01.2.07.01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Kendaraan Perorangan Dinas atau Kendaraan Dinas Jabatan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Kendaraan Perorangan Dinas atau Kendaraan Dinas Jabatan yang Disediakan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0.00.01.2.07.05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Mebel</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Paket Mebel yang Disediakan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145,000,000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0.00.01.2.07.06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Peralatan dan Mesin 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Peralatan dan Mesin Lainnya yangDisediakan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0.00.01.2.07.09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Gedung Kantor atau BangunanLainnya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Gedung Kantor atau BangunanLainnya yang Disediakan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0.00.01.2.07.11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Pengadaan Sarana dan Prasarana Pendukung Gedung Kantor atau Bangunan 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Sarana dan Prasarana Pendukung Gedung Kantor atau Bangunan Lainnya yangDisediakan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3.30.01.2.08</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Jasa Penunjang Urusan Pemerintahan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Kelancaran Administrasi dan Operasional Perkantoran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528,600,000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539,000,000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555,000,000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1,622,600,000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0.00.01.2.08.01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Jasa Surat Menyurat</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Penyediaan Jasa SuratMenyurat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0.00.01.2.08.02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Jasa Komunikasi, Sumber Daya Air dan Listrik</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Penyediaan Jasa Komunikasi, Sumber Daya Air dan Listrik yang Disediakan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86,100,000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269,100,000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0.00.01.2.08.04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Jasa Pelayanan Umum Kantor</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Penyediaan Jasa PelayananUmum Kantor yang Disediakan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445,000,000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1,320,000,000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3.30.01.2.09</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Pemeliharaan Barang Milik Daerah Penunjang Urusan Pemerintahan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kelancaran administrasi barang milik daerah</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135,614,365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144,308,588</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157,805,706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437,728,659</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Penyediaan Jasa Pemeliharaan, Biaya Pemeliharaan, dan Pajak Kendaraan Perorangan Dinas atau Kendaraan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Dinas Jabatan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Kendaraan Perorangan Dinas atau Kendaraan Dinas Jabatan yang Dipelihara dan dibayarkan Pajaknya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64,800,000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68,600,000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72,930,000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206,330,000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Penyediaan Jasa Pemeliharaan, Biaya Pemeliharaan, Pajak dan Perizinan Kendaraan Dinas Operasional atau</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Kendaraan Dinas Operasional atau Lapangan yang Dipelihara dan dibayarkan Pajak dan Perizinannya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Pemeliharaan Peralatan dan Mesin 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Peralatan dan Mesin Lainnya yangDipelihara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20,514,000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67,514,000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Pemeliharaan Aset Tetap 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Aset Tetap Lainnya yang Dipelihara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0.00.01.2.09.08</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Pemeliharaan Aset Tak Berwujud</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Aset Tak Berwujud yang Dipelihara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0.00.01.2.09.09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Pemeliharaan/Rehabilitasi Gedung Kantor danBangunan 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Gedung Kantor dan Bangunan Lainnyayang Dipelihara/Direhabilitasi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50,300,365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53,708,588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59,875,706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163,884,659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0.00.01.2.09.11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Pemeliharaan/Rehabilitasi Sarana dan Prasarana Pendukung Gedung Kantor atau</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BangunanLainnya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Sarana dan Prasarana Pendukung Gedung Kantor atau Bangunan Lainnya yangDipelihara/Direhabilitasi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Meningkatkan penguatan pasar daerah guna meningkatkan perdagangan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Kontribusi sektor perdagangan terhadap PDRB</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7,80</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7,88</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3,075,000,000</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7,91</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3,117,096,750</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7,92</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8,385,041,552</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7,94</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8,677,086,650</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7,96</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8,994,162,547</w:t>
            </w:r>
          </w:p>
        </w:tc>
        <w:tc>
          <w:tcPr>
            <w:tcW w:w="0" w:type="auto"/>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7,96</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32,248,387,499</w:t>
            </w:r>
          </w:p>
        </w:tc>
        <w:tc>
          <w:tcPr>
            <w:tcW w:w="0" w:type="auto"/>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Meningkatnya potensi keersediaan fasilitas perdagangan dan penguatan pengawasan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Fasilitas Perdagngan yang memenuhi standar</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56,25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3,075,000,000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3,117,096,750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68,75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8,385,041,552</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8,677,086,650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81,25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8,994,162,547</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81,25</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32,248,387,499</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terkendalinya harga komoditas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Kecukupan Komoditas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PERIZINAN DAN PENDAFTARAN PERUSAHAAN</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Izin Usaha Sektor Perdagangan yang 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101,369,000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103,906,266</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106,398,977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108,937,657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520,611,900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Izin Pengelolaan Pasar Rakyat, Pusat Perbelanjaan, dan Izin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Usaha Toko Swalayan</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rekomendasi izin pengelolaan pasar rakyat, pusat perbelanjaan, dan izin usaha toko swalayan yang 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101,369,000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103,906,266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106,398,977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108,937,657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520,611,900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Pemenuhan Komitmen Perolehan Perizinan Pasar Rakyat, Pusat Perbelanjaan, dan Toko Swalayan Melalui Sistem Pelayanan Perizinan Berusaha Terintegrasi Secara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Elektronik</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Rekomendasi Pemenuhan Komitmen Perolehan Perizinan Pasar Rakyat, Pusat Perbelanjaan, dan Toko Swalayan Melalui Sistem Pelayanan Perizinan Berusaha Terintegrasi Secara Elektronik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101,369,000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249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103,906,266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249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106,398,977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108,937,657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1248</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520,611,900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Penerbitan Tanda Daftar Gudang</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tanda daftar gudang yang 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3.30.02.2.02.01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Penerbitan Tanda Daftar Gudang</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Tanda Daftar Gudang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Surat Tanda Pendaftaran Waralaba (STPW) untuk Penerima Waralaba dari Waralaba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Surat Tanda Pendaftaran Waralaba (STPW) untuk Penerima Waralaba dari Waralaba Dalam Negeri yang</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3.30.02.2.03.01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Perizinan Surat Tanda Pendaftaran dan/atau Lanjutan Waralaba (STPW) Dalam Negeri Terintegrasi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Secara Elektronik</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Perizinan Surat Tanda Pendaftaran dan/atau Lanjutan Waralaba (STPW) Dalam Negeri Terintegrasi Secara Elektronik</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3.30.02.2.03.02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Pemenuhan Komitmen Perolehan Surat Tanda Pendaftaran dan/atau Lanjutan Waralaba (STPW) 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yang Diverifikasi sebagai Pemenuhan Komitmen Perolehan Surat Tanda Pendaftaran dan/atau Lanjutan Waralaba (STPW)Dalam Negeri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Surat Izin Usaha Perdagangan Minuman Beralkohol Golongan B dan C untuk Pengecer dan Penjual Langsung Minum di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Tempat</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Surat Izin Usaha Perdagangan Minuman Beralkohol Golongan B dan C untuk Pengecer dan Penjual Langsung Minum di Tempat yang 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3.30.02.2.05.01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Penerbitan Surat Izin Usaha Perdagangan Minuman Beralkohol Golongan B dan C</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Surat Izin Usaha Perdagangan untuk Pengecer dan Penjual Langsung Minuman Beralkohol Golongan B dan C yang Diterbitkan Melalui Sistem Pelayanan Perizinan Berusaha Terintegrasi Secara Elektronik</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3.30.02.2.06</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Pengendalian Fasilitas Penyimpanan Bahan Berbahaya dan Pengawasan Distribusi, Pengemasan dan Pelabelan Bahan Berbahaya di Tingkat</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Daerah Kabupaten/ 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Fasilitas Penyimpanan Bahan Berbahaya dan Pengawasan Distribusi, Pengemasan dan Pelabelan Bahan Berbahaya di Tingkat Daerah Kabupaten/ Kota yang dipantau</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3.30.02.2.06.01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Pemeriksaan Penyimpanan Bahan Berbahaya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Hasil PemeriksaanPenyimpanan Bahan Berbahaya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3.30.02.2.06.02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Fasilitasi Pemenuhan Komitmen Pemeriksaan Distribusi Bahan Berbahaya bagi P-B2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PA- B2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Hasil Fasilitasi Proses Pemenuhan Komitmen Pemeriksaan Distribusi Bahan Berbahaya bagi P-B2 dan PA-B2</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3.30.02.2.06.03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Pengawasan Distribusi, Pengemasan dan Pelabelan Bahan Berbahaya Terhadap Pengguna Akhir Bahan Berbahaya (PA-B2) maupun Produsen B2 (P-</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B2)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Hasil Pengawasan Distribusi, Pengemasan dan Pelabelan Bahan Berbahaya Terhadap Distributor B2, Pengguna Akhir Bahan Berbahaya (PA-B2) maupun Produsen B2 (P-B2)</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3.30.02.2.07</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Penerbitan Surat Keterangan Asal (bagi Daerah Kabupaten/Kota yang Telah Ditetapkan Sebagai Instansi Penerbit</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Surat Keterangan Asal)</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Surat Keterangan Asal yang diterbitkan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3.30.02.2.07.01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Koordinasi dan Sinkronisasi Layanan PenerbitanSKA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Penerbitan Surat KeteranganAsal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PENINGKATAN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ketersediaan sarana prasarana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152,053,500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155,859,399</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159,598,466</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163,406,485</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780,917,850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Pembangunan dan Pengelolaan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ketersediaan sarana prasarana perdagangan (%)</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90,903,500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93,559,399</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95,598,466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97,000,485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467,061,850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Penyediaan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Sarana Distribusi Perdagangan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40,253,500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42,059,399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43,098,466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44,200,000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209,611,365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Fasilitasi Pengelolaan Sarana DistribusiPerdagangan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Fasilitasi Pengelolaan Sarana DistribusiPerdagangan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50,650,000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52,800,485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257,450,485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Pembinaan terhadap Pengelola Sarana Distribusi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Perdagangan Masyarakat</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di Wilayah Kerjanya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pembinaan terhadap pengelola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61,150,000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62,300,000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64,000,000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66,406,000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313,856,000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3.30.03.2.02.01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Pembinaan dan Pengendalian Pengelola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Hasil Pembinaan dan Pengendalian kepada Pengelola Sarana DistribusiPerdagangan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35,150,000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37,206,000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178,656,000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3.30.03.2.02.02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Pemberdayaan Pengelola Sarana Distribusi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Dokumen Hasil Pembinaan dan Pengendalian kepada Pengelola Sarana DistribusiPerdagangan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29,200,000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135,200,000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STABILISASI HARGA BARANG KEBUTUHAN POKOK DAN BARANG PENTING</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jenis komoditi yang dipantau</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456,160,500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467,578,197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478,795,398</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490,219,456</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2,342,753,551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Menjamin Ketersediaan Barang Kebutuhan Pokok dan Barang Penting di Tingkat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 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Akses Kebutuhan Pokok yang dipantau</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151,000,000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154,950,000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157,900,000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161,400,000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775,250,000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Koordinasi dan Sinkronisasi Ketersediaan Barang Kebutuhan Pokok dan Barang Penting di Tingkat Agen dan Pasar</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Rakyat</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Koordinasi dan Sinkronisasi Ketersediaan Barang Kebutuhan Pokok dan Barang Penting di Tingkat Agen dan PasarRakyat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50,400,000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53,900,000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Koordinasi dan Sinkronisasi Peningkatan Aksesibilitas Barang Kebutuhan Pokok dan Barang Penting di Tingkat Agen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PasarRakyat</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Koordinasi dan Sinkronisasi Peningkatan Aksesibilitas Barang Kebutuhan Pokok dan Barang Penting di Tingkat Agen danPasar Rakyat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50,350,000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53,900,000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258,450,000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Pengendalian Ketersediaan Barang Kebutuhan Pokok dan Barang Penting di Tingkat Agen dan Pasar</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Rakyat</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Pengendalian Stok atau Ketersediaan Barang Kebutuhan Pokok dan Barang Penting di Tingkat Agen dan PasarRakyat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50,250,000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51,950,000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53,600,000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3.30.04.2.02</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Pengendalian Harga, dan Stok Barang Kebutuhan Pokok dan Barang Penting di Tingkat Pasar</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barang kebutuhan pokok dan barang penting yang dikendalikan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269,710,500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275,278,197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281,000,000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1,375,988,697</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3.30.04.2.02.01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Pemantauan Harga dan Stok Barang Kebutuhan Pokok dan Barang Penting pada Pelaku Usaha Distribusi Barang dalam 1 (Satu)</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Pemantauan Harga dan Stok Barang Kebutuhan Pokok dan Barang Penting pada Pelaku Usaha Distribusi Barang dalam 1 (Satu) Kabupaten/Kota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120,828,197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123,900,000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124,100,000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600,828,197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3.30.04.2.02.02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Pemantauan Harga dan Stok Barang Kebutuhan Pokok dan Barang Penting pada Pasar Rakyat yang Terintegrasi dalam Sistem Informasi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Pemantauan Harga dan Stok Barang Kebutuhan Pokok dan Barang Penting pada Pasar Rakyat yang Terintegrasi dalam Sistem Informasi Perdagangan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102,460,000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103,250,000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104,700,000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106,900,000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517,310,000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3.30.04.2.02.03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Pelaksanaan Operasi Pasar Reguler dan Pasar Khusus yang Berdampak dalam 1</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(Satu)Kabupaten/Kota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Pelaksanaan Operasi Pasar Reguler dan Pasar Khusus yang Berdampakdalam 1 (Satu)</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50,250,500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52,400,000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257,850,500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 Pupuk dan Pestisida Bersubsidi di Tingkat Daerah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 Pupuk dan Pestisida Bersubsidi di Tingkat Daerah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35,450,000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37,350,000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39,895,398</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43,819,456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191,514,854</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3.30.04.2.03.01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Pemeriksaan Kelengkapan Legalitas DokumenPerizinan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Dokumen Kelengkapan LegalitasDokumen Perizinan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15,150,000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82,650,000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3.30.04.2.03.02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 Pengadaan Pupuk dan PestisidaBersubsidi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Laporan Pengawasan Pengadaan Pupukdan Pestisida Bersubsidi (Laporan)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11,895,398</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12,819,456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55,164,854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3.30.04.2.03.03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 Penyaluran dan Penggunaan Pupuk dan Pestisida Bersubsidi</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Laporan Pengawasan Penyaluran dan Penggunaan Pupuk dan Pestisida Bersubsidi dengan Realisasi Minimal 90%</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(Laporan)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53,700,000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PENGEMBANGAN EKSPOR</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peningkatan jumlah komoditi ekspor</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182,464,200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187,031,279</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191,518,159</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196,087,783</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937,101,421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Penyelenggaraan Promosi Dagang melalui Pameran Dagang dan Misi Dagang bagi Produk Ekspor Unggulan yang terdapat pada 1 (satu) Daerah</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barang/jasa atau komoditi unggulan daerah serta perluasan pasar yang dikembangkan</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182,464,200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187,031,279</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191,518,159</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196,087,783</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937,101,421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Pembinaan dan Pengembangan Usaha Produk Ekspor Unggulan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Produk Ekspor Unggulan yang Dibina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27,100,000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27,268,159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27,587,783</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132,955,942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Pameran Dagang Nasional</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yang Difasilitasi dalam Pameran Dagang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30,614,200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31,200,000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156,814,200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Pameran Dagang Lokal</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yang Difasilitasi dalam Pameran Dagang Lokal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26,750,000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3.30.05.2.01.04</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Misi Dagang bagi Produk Ekspor Unggulan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yang Difasilitasi dalam Misi Dagang Produk Ekspor Unggulan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50,250,000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51,181,279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256,431,279</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Peningkatan Citra Produk Ekspor</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Produk Unggulan Ekspor Daerah yangDisusun Menjadi Materi Promosi (Produk)</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26,750,000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3.30.05.2.01.06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Pembinaan Pelaku Usaha Ekspor</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Ekspor yang Dibina (Pelaku Usaha)</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25,850,000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26,750,000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27,500,000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130,300,000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3,30,06</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STANDARDISASI DAN PERLINDUNGAN KONSUMEN</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alat ukur yang ditera</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425,749,800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436,406,317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446,875,705</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457,538,159</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2,186,569,981</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3.30.06.2.01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Pelaksanaan Metrologi Legal berupa, Tera, Tera Ulang, dan Pengawasan</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alat ukur yang ditera (%)</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425,749,800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436,406,317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446,875,705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457,538,159</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2,186,569,981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3.30.06.2.01.01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Pelaksanaan Metrologi Legal, Berupa Tera, Tera Ulang</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Alat Ukur, Alat Takar, Alat Timbang, dan Alat Perlengkapan Ditera Ulang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162,249,800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166,406,317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168,875,705</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172,538,159</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3250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830,069,981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3.30.06.2.01.02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Pengawasan/Penyuluhan Metrologi Legal</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Pelaku Usaha di Bidang Metrologi Legalyang Dibina (Orang)</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206,000,000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231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214,000,000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1155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3.30.06.2.01.03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Penyidikan Metrologi Legal</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Jumlah Unit Hasil Penyidikan Metrologi Legal (Unit)</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61,500,000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64,000,000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67,000,000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90" w:firstLineChars="3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323,500,000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3,30,07</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PROGRAM PENGGUNAAN DAN PEMASARAN PRODUK 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Persentase produk lokal yang dipasarkan</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25</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28</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101,369,000</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37</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103,906,266</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39</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106,398,977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60" w:firstLineChars="200"/>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108,937,657</w:t>
            </w:r>
          </w:p>
        </w:tc>
        <w:tc>
          <w:tcPr>
            <w:tcW w:w="0" w:type="auto"/>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42</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520,611,900</w:t>
            </w:r>
          </w:p>
        </w:tc>
        <w:tc>
          <w:tcPr>
            <w:tcW w:w="0" w:type="auto"/>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3.30.07.2.01</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Pelaksanaan Promosi, Pemasaran dan Peningkatan Penggunaan Produk 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prasarana yang digunakan dalam meningkatkan penggunaan produk dalam negeri</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100,000,000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101,369,000</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103,906,266</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106,398,977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108,937,657</w:t>
            </w:r>
          </w:p>
        </w:tc>
        <w:tc>
          <w:tcPr>
            <w:tcW w:w="0" w:type="auto"/>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520,611,900</w:t>
            </w:r>
          </w:p>
        </w:tc>
        <w:tc>
          <w:tcPr>
            <w:tcW w:w="0" w:type="auto"/>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3.30.07.2.01.01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Pelaksanaan Promosi Penggunaan Produk Dalam Negeri di Tingkat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UMKM yang Melaksanakan Promosi Penggunaan Produk Dalam Negeri di TingkatKabupaten/Kota</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(UMKM)</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15,519,000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16,906,266</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17,198,977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18,000,000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82,624,243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3.30.07.2.01.02</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Pemasaran dan Peningkatan Penggunaan Produk Dalam Negeri di Tingkat Kabupaten/Kota</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Jumlah UMKM yang Melakukan Pemasaran Produk Dalam Negeri Melalui Kemitraan dengan Retail, Marketplace, Perhotelan dan Jasa Akomodasi</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(UMKM)</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15,500,000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16,000,000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17,200,000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17,937,657</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81,637,657</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DINAS PERDAGANGAN, KOPERASI, USAHA KECIL DAN 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3.30.07.2.01.03</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Peningkatan Sistem dan Jaringan Informasi Perdagangan</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3"/>
                <w:szCs w:val="13"/>
              </w:rPr>
            </w:pPr>
            <w:r>
              <w:rPr>
                <w:rFonts w:ascii="Cambria" w:hAnsi="Cambria" w:eastAsia="Cambria" w:cs="Cambria"/>
                <w:color w:val="000000"/>
                <w:sz w:val="13"/>
                <w:szCs w:val="13"/>
                <w:lang w:eastAsia="zh-CN" w:bidi="ar"/>
              </w:rPr>
              <w:t>Jumlah Data dan Informasi Sistem dan Jaringan Informasi Perdagangan (Dokumen)</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70,350,000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71,000,000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72,000,000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1</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73,000,000</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30" w:firstLineChars="100"/>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5</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3"/>
                <w:szCs w:val="13"/>
              </w:rPr>
            </w:pPr>
            <w:r>
              <w:rPr>
                <w:rFonts w:ascii="Cambria" w:hAnsi="Cambria" w:eastAsia="Cambria" w:cs="Cambria"/>
                <w:color w:val="000000"/>
                <w:sz w:val="13"/>
                <w:szCs w:val="13"/>
                <w:lang w:eastAsia="zh-CN" w:bidi="ar"/>
              </w:rPr>
              <w:t>356,350,000</w:t>
            </w:r>
          </w:p>
        </w:tc>
        <w:tc>
          <w:tcPr>
            <w:tcW w:w="0" w:type="auto"/>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3"/>
                <w:szCs w:val="13"/>
              </w:rPr>
            </w:pPr>
            <w:r>
              <w:rPr>
                <w:rFonts w:ascii="Cambria" w:hAnsi="Cambria" w:eastAsia="Cambria" w:cs="Cambria"/>
                <w:color w:val="000000"/>
                <w:sz w:val="13"/>
                <w:szCs w:val="13"/>
                <w:lang w:eastAsia="zh-CN" w:bidi="ar"/>
              </w:rPr>
              <w:t>DINAS PERDAGANGAN, KOPERASI, USAHA KECIL DAN</w:t>
            </w:r>
            <w:r>
              <w:rPr>
                <w:rFonts w:ascii="Cambria" w:hAnsi="Cambria" w:eastAsia="Cambria" w:cs="Cambria"/>
                <w:color w:val="000000"/>
                <w:sz w:val="13"/>
                <w:szCs w:val="13"/>
                <w:lang w:eastAsia="zh-CN" w:bidi="ar"/>
              </w:rPr>
              <w:br w:type="textWrapping"/>
            </w:r>
            <w:r>
              <w:rPr>
                <w:rFonts w:ascii="Cambria" w:hAnsi="Cambria" w:eastAsia="Cambria" w:cs="Cambria"/>
                <w:color w:val="000000"/>
                <w:sz w:val="13"/>
                <w:szCs w:val="13"/>
                <w:lang w:eastAsia="zh-CN" w:bidi="ar"/>
              </w:rPr>
              <w:t>MENENGAH</w:t>
            </w: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gridSpan w:val="7"/>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Total</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3,075,000,000</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3,117,096,750</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8,385,041,552</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8,677,086,650</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8,994,162,547</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3"/>
                <w:szCs w:val="13"/>
              </w:rPr>
            </w:pPr>
            <w:r>
              <w:rPr>
                <w:rFonts w:ascii="Cambria" w:hAnsi="Cambria" w:eastAsia="Cambria" w:cs="Cambria"/>
                <w:b/>
                <w:bCs/>
                <w:color w:val="000000"/>
                <w:sz w:val="13"/>
                <w:szCs w:val="13"/>
                <w:lang w:eastAsia="zh-CN" w:bidi="ar"/>
              </w:rPr>
              <w:t>32,248,387,499</w:t>
            </w:r>
          </w:p>
        </w:tc>
        <w:tc>
          <w:tcPr>
            <w:tcW w:w="0" w:type="auto"/>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3"/>
                <w:szCs w:val="13"/>
              </w:rPr>
            </w:pPr>
          </w:p>
        </w:tc>
        <w:tc>
          <w:tcPr>
            <w:tcW w:w="0" w:type="auto"/>
            <w:tcBorders>
              <w:top w:val="single" w:color="000000" w:sz="2" w:space="0"/>
              <w:left w:val="single" w:color="000000" w:sz="2" w:space="0"/>
              <w:bottom w:val="single" w:color="000000" w:sz="2" w:space="0"/>
              <w:right w:val="single" w:color="000000" w:sz="2" w:space="0"/>
            </w:tcBorders>
            <w:shd w:val="clear" w:color="auto" w:fill="auto"/>
            <w:noWrap/>
            <w:vAlign w:val="top"/>
          </w:tcPr>
          <w:p>
            <w:pPr>
              <w:spacing w:after="0" w:line="240" w:lineRule="auto"/>
              <w:jc w:val="left"/>
              <w:rPr>
                <w:rFonts w:ascii="Times New Roman" w:hAnsi="Times New Roman" w:eastAsia="Times New Roman" w:cs="Times New Roman"/>
                <w:color w:val="000000"/>
                <w:sz w:val="13"/>
                <w:szCs w:val="13"/>
              </w:rPr>
            </w:pPr>
          </w:p>
        </w:tc>
      </w:tr>
    </w:tbl>
    <w:p>
      <w:pPr>
        <w:spacing w:after="0" w:line="240" w:lineRule="auto"/>
        <w:jc w:val="both"/>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p>
    <w:p>
      <w:pPr>
        <w:spacing w:after="0" w:line="240" w:lineRule="auto"/>
        <w:jc w:val="center"/>
        <w:rPr>
          <w:rFonts w:ascii="Arial Narrow" w:hAnsi="Arial Narrow" w:eastAsia="Times New Roman" w:cs="Calibri"/>
          <w:b/>
          <w:bCs/>
          <w:sz w:val="16"/>
          <w:szCs w:val="16"/>
        </w:rPr>
      </w:pPr>
      <w:r>
        <w:rPr>
          <w:rFonts w:ascii="Arial Narrow" w:hAnsi="Arial Narrow" w:eastAsia="Times New Roman" w:cs="Calibri"/>
          <w:b/>
          <w:bCs/>
          <w:sz w:val="16"/>
          <w:szCs w:val="16"/>
        </w:rPr>
        <w:t>Tabel 6.3.3) Rencana Program, Indikator Kinerja, Kelompok Sasaran, dan Pendanaan Indikatif (Berdasarkan Kepmendagri 900.1.15-1317 Tahum 2023  )</w:t>
      </w:r>
    </w:p>
    <w:p>
      <w:pPr>
        <w:spacing w:after="0" w:line="240" w:lineRule="auto"/>
        <w:jc w:val="center"/>
        <w:rPr>
          <w:rFonts w:ascii="Arial Narrow" w:hAnsi="Arial Narrow" w:eastAsia="Times New Roman" w:cs="Calibri"/>
          <w:b/>
          <w:bCs/>
          <w:sz w:val="16"/>
          <w:szCs w:val="16"/>
        </w:rPr>
      </w:pPr>
    </w:p>
    <w:tbl>
      <w:tblPr>
        <w:tblStyle w:val="4"/>
        <w:tblW w:w="17217"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7"/>
        <w:gridCol w:w="833"/>
        <w:gridCol w:w="994"/>
        <w:gridCol w:w="1989"/>
        <w:gridCol w:w="1750"/>
        <w:gridCol w:w="634"/>
        <w:gridCol w:w="566"/>
        <w:gridCol w:w="1134"/>
        <w:gridCol w:w="533"/>
        <w:gridCol w:w="1000"/>
        <w:gridCol w:w="533"/>
        <w:gridCol w:w="960"/>
        <w:gridCol w:w="549"/>
        <w:gridCol w:w="991"/>
        <w:gridCol w:w="500"/>
        <w:gridCol w:w="1000"/>
        <w:gridCol w:w="484"/>
        <w:gridCol w:w="1016"/>
        <w:gridCol w:w="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67" w:type="dxa"/>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Tujuan</w:t>
            </w:r>
          </w:p>
        </w:tc>
        <w:tc>
          <w:tcPr>
            <w:tcW w:w="833" w:type="dxa"/>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Sasaran</w:t>
            </w:r>
          </w:p>
        </w:tc>
        <w:tc>
          <w:tcPr>
            <w:tcW w:w="994" w:type="dxa"/>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Kode</w:t>
            </w:r>
          </w:p>
        </w:tc>
        <w:tc>
          <w:tcPr>
            <w:tcW w:w="1989" w:type="dxa"/>
            <w:vMerge w:val="restart"/>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Program/Kegiatan/Sub Kegiatan</w:t>
            </w:r>
          </w:p>
        </w:tc>
        <w:tc>
          <w:tcPr>
            <w:tcW w:w="1750" w:type="dxa"/>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Indikator Kinerja Program (Outcome) / Kegiatan (Output)</w:t>
            </w:r>
          </w:p>
        </w:tc>
        <w:tc>
          <w:tcPr>
            <w:tcW w:w="634" w:type="dxa"/>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b/>
                <w:bCs/>
                <w:color w:val="000000"/>
                <w:sz w:val="12"/>
                <w:szCs w:val="12"/>
                <w:lang w:eastAsia="zh-CN" w:bidi="ar"/>
              </w:rPr>
              <w:t>Data Capaian pada Tahun Awal</w:t>
            </w:r>
            <w:r>
              <w:rPr>
                <w:rFonts w:ascii="Cambria" w:hAnsi="Cambria" w:eastAsia="Cambria" w:cs="Cambria"/>
                <w:b/>
                <w:bCs/>
                <w:color w:val="000000"/>
                <w:sz w:val="12"/>
                <w:szCs w:val="12"/>
                <w:lang w:eastAsia="zh-CN" w:bidi="ar"/>
              </w:rPr>
              <w:br w:type="textWrapping"/>
            </w:r>
            <w:r>
              <w:rPr>
                <w:rFonts w:ascii="Cambria" w:hAnsi="Cambria" w:eastAsia="Cambria" w:cs="Cambria"/>
                <w:b/>
                <w:bCs/>
                <w:color w:val="000000"/>
                <w:sz w:val="12"/>
                <w:szCs w:val="12"/>
                <w:lang w:eastAsia="zh-CN" w:bidi="ar"/>
              </w:rPr>
              <w:t>Perencanaan</w:t>
            </w:r>
          </w:p>
        </w:tc>
        <w:tc>
          <w:tcPr>
            <w:tcW w:w="7766" w:type="dxa"/>
            <w:gridSpan w:val="10"/>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Target Kinerja Program dan Kerangka Pendanaan</w:t>
            </w:r>
          </w:p>
        </w:tc>
        <w:tc>
          <w:tcPr>
            <w:tcW w:w="1500" w:type="dxa"/>
            <w:gridSpan w:val="2"/>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Kondisi Kinerja pada akhir periode Renstra Perangkat Daerah</w:t>
            </w:r>
          </w:p>
        </w:tc>
        <w:tc>
          <w:tcPr>
            <w:tcW w:w="884" w:type="dxa"/>
            <w:vMerge w:val="restart"/>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Unit Kerja Perangkat Daerah Penanggung-jawab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994"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1989"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1750" w:type="dxa"/>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2"/>
                <w:szCs w:val="12"/>
              </w:rPr>
            </w:pPr>
          </w:p>
        </w:tc>
        <w:tc>
          <w:tcPr>
            <w:tcW w:w="634" w:type="dxa"/>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Times New Roman" w:hAnsi="Times New Roman" w:eastAsia="Times New Roman" w:cs="Times New Roman"/>
                <w:color w:val="000000"/>
                <w:sz w:val="12"/>
                <w:szCs w:val="12"/>
              </w:rPr>
            </w:pPr>
          </w:p>
        </w:tc>
        <w:tc>
          <w:tcPr>
            <w:tcW w:w="1700" w:type="dxa"/>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Tahun-1 (2022)</w:t>
            </w:r>
          </w:p>
        </w:tc>
        <w:tc>
          <w:tcPr>
            <w:tcW w:w="1533" w:type="dxa"/>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center"/>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Tahun-2 (2023)</w:t>
            </w:r>
          </w:p>
        </w:tc>
        <w:tc>
          <w:tcPr>
            <w:tcW w:w="1493" w:type="dxa"/>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jc w:val="center"/>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Tahun-3 (2024)</w:t>
            </w:r>
          </w:p>
        </w:tc>
        <w:tc>
          <w:tcPr>
            <w:tcW w:w="1540" w:type="dxa"/>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Tahun-4 (2025)</w:t>
            </w:r>
          </w:p>
        </w:tc>
        <w:tc>
          <w:tcPr>
            <w:tcW w:w="1500" w:type="dxa"/>
            <w:gridSpan w:val="2"/>
            <w:tcBorders>
              <w:top w:val="single" w:color="000000" w:sz="2" w:space="0"/>
              <w:left w:val="single" w:color="000000" w:sz="2" w:space="0"/>
              <w:bottom w:val="single" w:color="000000" w:sz="2" w:space="0"/>
              <w:right w:val="single" w:color="000000" w:sz="2" w:space="0"/>
            </w:tcBorders>
            <w:shd w:val="clear" w:color="auto" w:fill="0091DB"/>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Tahun-5 (2026)</w:t>
            </w:r>
          </w:p>
        </w:tc>
        <w:tc>
          <w:tcPr>
            <w:tcW w:w="1500" w:type="dxa"/>
            <w:gridSpan w:val="2"/>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2"/>
                <w:szCs w:val="12"/>
              </w:rPr>
            </w:pPr>
          </w:p>
        </w:tc>
        <w:tc>
          <w:tcPr>
            <w:tcW w:w="884" w:type="dxa"/>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994"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1989" w:type="dxa"/>
            <w:vMerge w:val="continue"/>
            <w:tcBorders>
              <w:top w:val="single" w:color="000000" w:sz="2" w:space="0"/>
              <w:left w:val="single" w:color="000000" w:sz="2" w:space="0"/>
              <w:bottom w:val="single" w:color="000000" w:sz="2" w:space="0"/>
              <w:right w:val="single" w:color="000000" w:sz="2" w:space="0"/>
            </w:tcBorders>
            <w:shd w:val="clear" w:color="auto" w:fill="0091DB"/>
            <w:vAlign w:val="center"/>
          </w:tcPr>
          <w:p>
            <w:pPr>
              <w:spacing w:after="0" w:line="240" w:lineRule="auto"/>
              <w:jc w:val="left"/>
              <w:rPr>
                <w:rFonts w:ascii="Cambria" w:hAnsi="Cambria" w:eastAsia="Cambria" w:cs="Cambria"/>
                <w:b/>
                <w:bCs/>
                <w:color w:val="000000"/>
                <w:sz w:val="12"/>
                <w:szCs w:val="12"/>
              </w:rPr>
            </w:pPr>
          </w:p>
        </w:tc>
        <w:tc>
          <w:tcPr>
            <w:tcW w:w="1750" w:type="dxa"/>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(6)</w:t>
            </w:r>
          </w:p>
        </w:tc>
        <w:tc>
          <w:tcPr>
            <w:tcW w:w="1700"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(7)</w:t>
            </w:r>
          </w:p>
        </w:tc>
        <w:tc>
          <w:tcPr>
            <w:tcW w:w="1533"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(8)</w:t>
            </w:r>
          </w:p>
        </w:tc>
        <w:tc>
          <w:tcPr>
            <w:tcW w:w="1493"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(9)</w:t>
            </w:r>
          </w:p>
        </w:tc>
        <w:tc>
          <w:tcPr>
            <w:tcW w:w="1540"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(10)</w:t>
            </w:r>
          </w:p>
        </w:tc>
        <w:tc>
          <w:tcPr>
            <w:tcW w:w="1500"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(11)</w:t>
            </w:r>
          </w:p>
        </w:tc>
        <w:tc>
          <w:tcPr>
            <w:tcW w:w="1500" w:type="dxa"/>
            <w:gridSpan w:val="2"/>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(12)</w:t>
            </w:r>
          </w:p>
        </w:tc>
        <w:tc>
          <w:tcPr>
            <w:tcW w:w="884" w:type="dxa"/>
            <w:vMerge w:val="continue"/>
            <w:tcBorders>
              <w:top w:val="single" w:color="000000" w:sz="2" w:space="0"/>
              <w:left w:val="single" w:color="000000" w:sz="2" w:space="0"/>
              <w:bottom w:val="single" w:color="000000" w:sz="2" w:space="0"/>
              <w:right w:val="single" w:color="000000" w:sz="2" w:space="0"/>
            </w:tcBorders>
            <w:shd w:val="clear" w:color="auto" w:fill="0091DB"/>
            <w:vAlign w:val="top"/>
          </w:tcPr>
          <w:p>
            <w:pPr>
              <w:spacing w:after="0" w:line="240" w:lineRule="auto"/>
              <w:jc w:val="center"/>
              <w:rPr>
                <w:rFonts w:ascii="Cambria" w:hAnsi="Cambria" w:eastAsia="Cambria" w:cs="Cambria"/>
                <w:b/>
                <w:bCs/>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(1)</w:t>
            </w:r>
          </w:p>
        </w:tc>
        <w:tc>
          <w:tcPr>
            <w:tcW w:w="833"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(2)</w:t>
            </w:r>
          </w:p>
        </w:tc>
        <w:tc>
          <w:tcPr>
            <w:tcW w:w="994"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(3)</w:t>
            </w:r>
          </w:p>
        </w:tc>
        <w:tc>
          <w:tcPr>
            <w:tcW w:w="1989"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(4)</w:t>
            </w:r>
          </w:p>
        </w:tc>
        <w:tc>
          <w:tcPr>
            <w:tcW w:w="1750"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(5)</w:t>
            </w:r>
          </w:p>
        </w:tc>
        <w:tc>
          <w:tcPr>
            <w:tcW w:w="634"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566"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1134"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533"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100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533"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96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549"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991"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50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100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484"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K</w:t>
            </w:r>
          </w:p>
        </w:tc>
        <w:tc>
          <w:tcPr>
            <w:tcW w:w="1016"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ind w:firstLine="360" w:firstLineChars="300"/>
              <w:jc w:val="right"/>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Rp</w:t>
            </w:r>
          </w:p>
        </w:tc>
        <w:tc>
          <w:tcPr>
            <w:tcW w:w="884" w:type="dxa"/>
            <w:tcBorders>
              <w:top w:val="single" w:color="000000" w:sz="2" w:space="0"/>
              <w:left w:val="single" w:color="000000" w:sz="2" w:space="0"/>
              <w:bottom w:val="single" w:color="000000" w:sz="2" w:space="0"/>
              <w:right w:val="single" w:color="000000" w:sz="2" w:space="0"/>
            </w:tcBorders>
            <w:shd w:val="clear" w:color="auto" w:fill="0091DB"/>
            <w:noWrap/>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Meningkatkan kemandirian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Pelaku usaha</w:t>
            </w:r>
          </w:p>
        </w:tc>
        <w:tc>
          <w:tcPr>
            <w:tcW w:w="833"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Cakupan kemandirian pelaku usaha</w:t>
            </w:r>
          </w:p>
        </w:tc>
        <w:tc>
          <w:tcPr>
            <w:tcW w:w="634"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9,94</w:t>
            </w:r>
          </w:p>
        </w:tc>
        <w:tc>
          <w:tcPr>
            <w:tcW w:w="566"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13,98</w:t>
            </w:r>
          </w:p>
        </w:tc>
        <w:tc>
          <w:tcPr>
            <w:tcW w:w="960"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15,21</w:t>
            </w:r>
          </w:p>
        </w:tc>
        <w:tc>
          <w:tcPr>
            <w:tcW w:w="991"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16,43</w:t>
            </w: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16,43</w:t>
            </w:r>
          </w:p>
        </w:tc>
        <w:tc>
          <w:tcPr>
            <w:tcW w:w="1016"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D3E8ED"/>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7"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Meningkatnya kualitas kelembagaan, produktivitas dan daya saing serta kemandirian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pelaku usaha</w:t>
            </w: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kemandirian Koperasi dan BPR/LKM Mandiri</w:t>
            </w:r>
          </w:p>
        </w:tc>
        <w:tc>
          <w:tcPr>
            <w:tcW w:w="634"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17,39</w:t>
            </w:r>
          </w:p>
        </w:tc>
        <w:tc>
          <w:tcPr>
            <w:tcW w:w="566"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22,46</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23,91</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25,36</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25,36</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Kemandirian UMK</w:t>
            </w:r>
          </w:p>
        </w:tc>
        <w:tc>
          <w:tcPr>
            <w:tcW w:w="63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2,50</w:t>
            </w:r>
          </w:p>
        </w:tc>
        <w:tc>
          <w:tcPr>
            <w:tcW w:w="566"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5,50</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2,17,02</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PELAYANAN IZIN USAHA SIMPAN PINJAM</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Koperasi yang mendapatkan izin usaha simpan pinjam</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10,250,300</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10,496,205</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10,746,644</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41,493,149</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2.17.02.2.01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Izin Usaha Simpan Pinjam untuk Koperasi dengan Wilayah Keanggotaan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mendapatkan izin usaha</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5,125,150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5,248,103</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5,373,322</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20,746,575</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2.17.02.2.01.0001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Izin Usaha Simpan Pinjam  dan Pembukaan Kantor Cabang, Cabang Pembantu dan Kantor Kas Koperasi Simpan Pinjam untuk Koperasi dengan Wilayah Keanggotaan dalam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Kabupaten/Kota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Simpan Pinjam dan Pembukaan Kantor Cabang, Cabang Pembantu dan Kantor Kas Koperasi Simpan Pinjam untuk Koperasi dengan Wilayah Keanggotaan dalam Daerah Kabupaten/Kota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5,125,150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5,248,103</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5,373,322</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20,746,575</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2.17.02.2.02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Izin Pembukaan Kantor Cabang,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Cabang Pembantu dan Kantor Kas Koperasi Simpan Pinjam untuk Koperasi dengan Wilayah Keanggotaan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simpan pinjam yang mendapatkan Izin pembukaan kantor cabang,cabang pembantu dan kantor kas.</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5,125,150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5,248,102</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5,373,322</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20,746,574</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2.17.02.2.02.0001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Izin Usaha Pembukaan Kantor Cabang, Cabang Pembantu dan Kantor Kas Koperasi Simpan Pinjam untuk Koperasi dengan Wilayah Keanggotaan dalam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Kabupaten/Kota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Kantor Cabang, Cabang Pembantu dan Kantor Kas Koperasi Simpan Pinjam untuk Koperasi dengan Wilayah Keanggotaan dalam Daerah Kabupaten/Kota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5,125,150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5,248,102</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5,373,322</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20,746,574</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2,17,03</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PENGAWASAN DAN PEMERIKSAAN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koperasi sehat</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124,687,519</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127,678,773</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130,725,188</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624,734,280</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2.17.03.2.01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Pemeriksaan dan Pengawasan Koperasi, Koperasi Simpan Pinjam/Unit Simpan Pinjam Koperasi yang Wilayah Keanggotaannya dalam Daerah Kabupaten/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Koperasi Simpan Pinjam/Unit Simpan Pinjam yang diperiksa dan diawasi</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124,687,519</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127,678,773</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130,725,188</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624,734,280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2.17.03.2.01.0003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Penguatan Tata Kelola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Kelembagaan Koperasi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Penguatan Koperasi Tata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Dilakukan Kelola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Kelembagaan Koperasi ( Unit Usaha )</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72,687,519</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73,678,773</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74,725,188</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361,734,280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2.17.03.2.01.0004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Proses Pemeriksaan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Pengawasan Koperasi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Wilayah Keanggotaannya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Kabupaten/Kota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Jumlahunit Usaha  Koperasi yang telah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dilakukan Pemeriksaan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Pengawasan ( Unit Usaha )</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54,000,000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56,000,000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263,000,000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2,17,04</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PENILAIAN KESEHATAN KSP/USP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koperasi KSP/USP yang sehat</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129,882,833</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132,998,722</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136,172,071</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650,764,876</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2.17.04.2.01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Penilaian Kesehatan Koperasi Simpan Pinjam/Unit Simpan Pinjam Koperasi yang Wilayah Keanggotaannya dalam 1 (satu)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Sehat organisasi, Sehat Usaha dan Sehat Administrasi</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129,882,833</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132,998,722</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136,172,071</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650,764,876</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2.17.04.2.01.0001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Penilaian Kesehatan KSP/USP Koperasi Kewenangan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Koperasi yang Telah Dilakukan Penilaian Kesehatan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187,000,000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2.17.04.2.01.0003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Penilaian Kesehatan Koperasi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Meliputi Tata Kelola, Profil Risiko, </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Kinerja Keuangan,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Permodalan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Diberikan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Penilaian Kesehatan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92,882,833</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93,998,722</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96,172,071</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463,764,876</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2,17,05</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PENDIDIKAN DAN LATIHAN PERKOPERASIAN</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Pengurus Koperasi yang mendapatkan pendidikan keterampilan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176,640,652</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180,878,262</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185,194,017</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885,040,231</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2.17.05.2.01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Pendidikan dan Latihan Perkoperasian bagi Koperasi yang Wilayah Keanggotaan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mendapatkan pendidikan dan pelatihan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176,640,652</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180,878,262</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185,194,017</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885,040,231</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2.17.05.2.01.0001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Peningkatan Pemahaman dan Pengetahuan Perkoperasian serta Kapasitas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KompetensiSDM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SDM yang Memahami Pengetahuan Perkoperasian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176,640,652</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180,878,262</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185,194,017</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885,040,231</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2.17.05.2.02</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Pendidikan dan Latihan UKM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bagi UKM dalam Daerah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566"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96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991"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right"/>
              <w:rPr>
                <w:rFonts w:ascii="Cambria" w:hAnsi="Cambria" w:eastAsia="Cambria" w:cs="Cambria"/>
                <w:color w:val="000000"/>
                <w:sz w:val="12"/>
                <w:szCs w:val="12"/>
              </w:rPr>
            </w:pPr>
          </w:p>
        </w:tc>
        <w:tc>
          <w:tcPr>
            <w:tcW w:w="1016"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DINAS PERDAGANGAN, KOPERASI, USAHA KECIL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2.17.05.2.03</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Pendidikan dan Pelatihan SDM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Usaha Mikro dalam 1 (Satu)</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566"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96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991"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spacing w:after="0" w:line="240" w:lineRule="auto"/>
              <w:jc w:val="right"/>
              <w:rPr>
                <w:rFonts w:ascii="Cambria" w:hAnsi="Cambria" w:eastAsia="Cambria" w:cs="Cambria"/>
                <w:color w:val="000000"/>
                <w:sz w:val="12"/>
                <w:szCs w:val="12"/>
              </w:rPr>
            </w:pPr>
          </w:p>
        </w:tc>
        <w:tc>
          <w:tcPr>
            <w:tcW w:w="1016"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DINAS PERDAGANGAN, KOPERASI, USAHA KECIL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PEMBERDAYAAN DAN PERLINDUNGAN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Koperasi yang Diberdayakan dan mendapatkan perlindungan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192,226,592</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196,838,108</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201,534,665</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963,132,015</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Pemberdayaan dan Perlindungan Koperasi yang Keanggotaannya dalam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Sehat</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192,226,592</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196,838,108</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201,534,665</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963,132,015</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Penumbuhan Kesadaran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Keluarga dalam Peningkatan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Taraf Hidup Keluarga Melalui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Kehidupan Berkoperasi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Pengembangan Ekonomi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Keluarga yang Mengikuti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Penumbuhan Kesadaran Keluarga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Peningkatan Taraf Hidup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Keluarga Melalui Kehidupan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Berkoperasi dan Pengembangan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Ekonomi Lainnya (Keluarga)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192,226,592</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196,838,108</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201,534,665</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963,132,015</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Pembinaan dan Pendampingan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Bagi Keluarga dan Kelompok</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Masyarakat yang Akan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Membentuk Koperasi Dalam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Pengembangan Ekonomi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dan/atau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Pendampingan yang dilaksanakan (Kelompok Masyarakat)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Fasilitasi Kemitraan Koperasi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yang Keanggotaannya Daerah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Difasilitasi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Kemitraannya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Peningkatan Produktivitas, Nilai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Tambah, Akses Pasar, Akses</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Pembiayaan, Penguatan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Kelembagaan, Penataan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Manajemen, Standarisasi,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Restrukturisasi Usaha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Produktif, Bernilai Tambah,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Memiliki Akses Pasar, Akses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Pembiayaan, Penguatan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Kelembagaan,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Manajemen, Standarisasi,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Penataan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Restrukturisasi Usaha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Pemulihan Usaha Koperasi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Keanggotaannya Daerah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dipulihkan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usahanya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Fasilitasi Akses Permodalan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Koperasi yang Keanggotaannya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Daerah Kabupaten/Kota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difasilitasi permodalannya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1"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Fasilitasi Pelaporan Koperasi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yang Keanggotaannya Daerah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Kabupaten/Kota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 difasilitasi permodalannya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2.17.06.2.01.0009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Pemberdayaan Koperasi dengan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Keanggotaan Daerah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Koperasi dengan Keanggotaan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Kabupaten/Kota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2.17.06.3.01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Pemberdayaan dan Perlindungan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Koperasi yang Keanggotaannya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dalam 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center"/>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2.17.06.3.01.0003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Peningkatan Produktivitas, Nilai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Tambah, AksesPasar, Akses</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Pembiayaan, Penguatan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Kelembagaan, Penataan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Manajemen, Standarisasi,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Restrukturisasi Usaha </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Produktif</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Koperasi yang Bernilai Tambah,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Memiliki Akses Pasar, Akses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Pembiayaan, Penguatan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Kelembagaan,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Manajemen, Standarisasi,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Penataan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Restrukturisasi Usaha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2.17.06.3.01.0004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Sosialisasi bagi kelompok</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masyarakat di wilayah adat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untuk membentuk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kelompok masyarakat pra koperasi di wilayah adat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mendapatkan sosialisasi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pembentukan koperasi (Kelompok pra-koperasi)</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left"/>
              <w:rPr>
                <w:rFonts w:ascii="Cambria" w:hAnsi="Cambria" w:eastAsia="Cambria" w:cs="Cambria"/>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PROGRAM PEMBERDAYAAN USAHA MENENGAH, USAHA KECIL, DAN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MIKRO (UMKM)</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UMKM yang Diberdayakan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613,187,296</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627,897,660</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642,879,298</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3,082,178,254</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Pemberdayaan Usaha Mikro yang Dilakukan melalui Pendataan, Kemitraan, Kemudahan Perizinan, Penguatan Kelembagaan dan Koordinasi dengan Para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Pemangku Kepentingan</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naik kelas</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613,187,296</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627,897,660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642,879,298</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3,082,178,254</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Pemberdayaan Melalui Kemitraan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yang Telah MelaksanakanKemitraan Usaha Mikro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152,000,000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156,000,000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159,000,000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767,000,000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Kemudahan Perizinan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 Telah MendapatkanPerizinan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83,000,000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89,000,000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418,000,000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Pemberdayaan Kelembagaan Potensi dan Pengembangan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yang Telah Menerima Pembinaan dan Pendampingan Terhadap UsahaMikro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128,000,000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131,000,000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624,000,000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Sinkronisasi dengan Para Pemangku Kepentingan dalam Pemberdayaan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SDM yang Telah Melakukan Koordinasi dan Sinkronisasi dengan Para Pemangku Kepentingan dalam Pemberdayaan Usaha Mikro</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152,000,000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155,000,000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158,000,000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765,000,000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Pelatihan dan Pendampingan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Pemanfaataan Sistem Aplikasi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Pembukuan/Pencatatan </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Keuangan Usaha Mikro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Usaha Kecil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Pemulihan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Hak Kekayaan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Intelektual Usaha Kecil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2.17.07.2.01.0010</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Pendampingan dan Bantuan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Hukum bagi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Sertifikasi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Standardisasi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Pengadaan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Barang/Jasa Pemerintah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Tempat Promosi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Pengembangan Usaha Kecil pada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Infrastruktur Publik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Penyusunan Basis Data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Mikro Terdata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46.000.000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2.17.07.2.01.0015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Peningkatan Pemahaman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Pengetahuan UMKM serta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Kapasitas dan Kompetensi SDM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UMKM dan Kewirausahaan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melalui Pendidikan dan Pelatihan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SDM yang Memahami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Pengetahuan Usaha Mikro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Kewirausahaan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1"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Penetapan pedoman mekanisme</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kepemilikan saham lembaga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keuangan mikro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diaturdengan Perdasus terkait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 kewajiban kepemilikan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saham yang bersumber dari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APBD dalam rangka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akses pembiayaan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UMKM</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Penyusunan Pedoman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Mekanisme kepemilikan saham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lembaga keuangan mikro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diatur dengan Perdasus terkait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dengankewajiban kepemilikan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saham yang bersumber dari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APBD dalam rangka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akses pembiayaan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UMKM</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Pedoman Mekanisme</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kepemilikan saham lembaga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keuangan mikro yang diatur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 Perdasus terkait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dengankewajiban kepemilikan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saham yang bersumber dari APBD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rangka meningkatkan akses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pembiayaan UMKM (Perdaus/Perkada)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2.17.07.3.03</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Penetapan pedoman mekanisme</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kepemilikan saham lembaga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keuangan mikro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diaturdengan Perdasus terkait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 kewajiban kepemilikan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saham yang bersumber dari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APBD dalam rangka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akses pembiayaan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UMKM</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4"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2.17.07.3.03.0001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Sosialisasi, Bimtek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Pendampingan bagi pelaku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Usaha Mikro,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 OAP untuk masuk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sistem Pengadaan Barang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Jasa Pemerintah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mendapatkan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Sosialisasi, Bimtek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Pendampingan Pelaku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Mikro, Kecil dan Menengah OAP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masuk dalam sistem Pengadaan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Barang dan Jasa Pemerintah (Pelaku Usaha )</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57.187.296</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57.897.660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59.879.298</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291.178.254</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2.17.07.3.04</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 xml:space="preserve">Fasilitasi kemitraan usaha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melalui rantai pasok antara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usaha besar, usaha menengah,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dengan usaha kecil dan usaha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mikro untuk mempercepat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 xml:space="preserve">transformasi UMKM dalam </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skala usaha.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2.17.07.3.04.0001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Kurasi, Peningkatan mutu</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produk, dan Kemitraan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Mikro dengan Usaha Kecil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Menengah melalui rantai pasok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Kurasi, Peningkatan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mutu produk, dan Kemitraan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 Usaha Kecil dan Menengah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melalui rantai pasok (Unit Usaha )</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Penetapan pedoman mekanisme</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kepemilikan saham lembaga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keuangan mikro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diaturdengan Perdasus terkait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 kewajiban kepemilikan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saham yang bersumber dari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APBD dalam rangka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akses pembiayaan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UMKM</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Penyusunan Pedoman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Mekanisme kepemilikan saham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lembaga keuangan mikro yang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diatur dengan Perdasus terkait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dengankewajiban kepemilikan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saham yang bersumber dari</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APBD dalam rangka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akses pembiayaan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UMKM</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Pedoman Mekanisme</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kepemilikan saham lembaga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keuangan mikro yang diatur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 Perdasus terkait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dengankewajiban kepemilikan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saham yang bersumber dari APBD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rangka meningkatkan akses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pembiayaan UMKM (Perdaus/Perkada)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2.17.07.4.03</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Dukungan bagi pelaku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mikro, kecil dan menengah OAP</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sebagai penyedia pengadaan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barang/ jasa Pemerintah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Pusat/Daerah dengan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melakukan perjanjian kerjasama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memprioritaskan kemitraan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 usaha mikro dan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OAP</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3"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2.17.07.4.03.0001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Sosialisasi, Bimtek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Pendampingan bagi pelaku</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Usaha Mikro, Kecil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Menengah OAP untuk masuk</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dalam sistem Pengadaan Barang</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dan Jasa Pemerintah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mendapatkan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Sosialisasi, Bimtek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Pendampingan Pelaku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Mikro, Kecil dan Menengah OAP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masuk dalam sistem Pengadaan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Barang dan Jasa Pemerintah (Pelaku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2.17.07.4.04</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Fasilitasi kemitraan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melalui rantai pasok antara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usaha besar, usaha menengah,</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dengan usaha kecil dan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mikro untuk mempercepat</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transformasi UMKM dalam</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meningkatkan skala usaha.</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2.17.07.4.04.0001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Kurasi, Peningkatan mutu</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produk, dan Kemitraan Usaha</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Mikro dengan Usaha Kecil dan</w:t>
            </w:r>
            <w:r>
              <w:rPr>
                <w:rFonts w:ascii="Times New Roman" w:hAnsi="Times New Roman" w:eastAsia="SimSun" w:cs="Times New Roman"/>
                <w:color w:val="000000"/>
                <w:sz w:val="12"/>
                <w:szCs w:val="12"/>
                <w:lang w:eastAsia="zh-CN" w:bidi="ar"/>
              </w:rPr>
              <w:br w:type="textWrapping"/>
            </w:r>
            <w:r>
              <w:rPr>
                <w:rFonts w:ascii="Times New Roman" w:hAnsi="Times New Roman" w:eastAsia="SimSun" w:cs="Times New Roman"/>
                <w:color w:val="000000"/>
                <w:sz w:val="12"/>
                <w:szCs w:val="12"/>
                <w:lang w:eastAsia="zh-CN" w:bidi="ar"/>
              </w:rPr>
              <w:t>Menengah melalui rantai pasok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Kurasi, Peningkatan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mutu produk, dan Kemitraan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dengan Usaha Kecil dan Menengah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melalui rantai pasok (Unit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2,17,08</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PENGEMBANGAN UMKM</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UMKM yang ditingkatkan kapasitasnya</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493,554,764</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505,395,143</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517,453,871</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2,472,906,528</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2.17.08.2.01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Pengembangan Usaha Mikro dengan Orientasi Peningkatan Skala Usaha menjadi Usaha Kecil</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Naik kelas dari Usaha Mikro menjadi Usaha Kecil melalui Pusat layanan usaha Terpadu (PLUT)</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493,554,764</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505,395,143</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517,453,871</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2,472,906,528</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2.17.08.2.01.0002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Pengembangan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 (Unit Usaha )</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493,554,764</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505,395,143</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517,453,871</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2,472,906,528</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2.17.08.2.01.0003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Penmbuhan dan pengembangan kewirausahaan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yang di fasilitasi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center"/>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2.17.08.2.01.0004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Pengembangan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Inkubasi Secara Terpadu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Berjenjang</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Inkubator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center"/>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2.17.08.2.01.0005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Inkubator Usaha Mikro</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Usaha Mikro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Terfasilitasi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center"/>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2.17.08.2.01.0006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Produksi dan Pengolahan,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Pemasaran, Sumber Daya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Manusia, serta Desain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Teknologi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Usaha UMKM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Mendapatkan Fasilitas Produksi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Pengolahan, Pemasaran,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Sumber Daya Manusia, Serta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Desain dan Teknologi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center"/>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center"/>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left"/>
              <w:rPr>
                <w:rFonts w:ascii="Cambria" w:hAnsi="Cambria" w:eastAsia="Cambria" w:cs="Cambria"/>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PENGUATAN BADAN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HUKUM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566"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right"/>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center"/>
              <w:rPr>
                <w:rFonts w:ascii="Cambria" w:hAnsi="Cambria" w:eastAsia="Cambria" w:cs="Cambria"/>
                <w:color w:val="000000"/>
                <w:sz w:val="12"/>
                <w:szCs w:val="12"/>
              </w:rPr>
            </w:pPr>
          </w:p>
        </w:tc>
        <w:tc>
          <w:tcPr>
            <w:tcW w:w="96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Cambria" w:hAnsi="Cambria" w:eastAsia="Cambria" w:cs="Cambria"/>
                <w:color w:val="000000"/>
                <w:sz w:val="12"/>
                <w:szCs w:val="12"/>
              </w:rPr>
            </w:pPr>
          </w:p>
        </w:tc>
        <w:tc>
          <w:tcPr>
            <w:tcW w:w="991"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center"/>
              <w:rPr>
                <w:rFonts w:ascii="Cambria" w:hAnsi="Cambria" w:eastAsia="Cambria" w:cs="Cambria"/>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right"/>
              <w:rPr>
                <w:rFonts w:ascii="Cambria" w:hAnsi="Cambria" w:eastAsia="Cambria" w:cs="Cambria"/>
                <w:color w:val="000000"/>
                <w:sz w:val="12"/>
                <w:szCs w:val="12"/>
              </w:rPr>
            </w:pP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867"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2.17.09.3.01</w:t>
            </w:r>
          </w:p>
        </w:tc>
        <w:tc>
          <w:tcPr>
            <w:tcW w:w="1989"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Pemberian pendampingan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pendirian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66FF9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66FF99"/>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2.17.09.3.01.0001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Pendampingan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Pendirian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Kelompok Pra Koperasi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didampingi dan diberikan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untuk mendirikan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koperasi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2.17.09.3.02</w:t>
            </w:r>
          </w:p>
        </w:tc>
        <w:tc>
          <w:tcPr>
            <w:tcW w:w="1989"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Penguatan peran notaris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pembuat akta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66FF9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2.17.09.3.02.0001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Pemberian Akta Notaris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bagi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mendapatkan fasilitasi akta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notaris</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2.17.09.4.01</w:t>
            </w:r>
          </w:p>
        </w:tc>
        <w:tc>
          <w:tcPr>
            <w:tcW w:w="1989"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Pemberian pendampingan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pendirian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66FF9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2.17.09.4.01.0001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Pendampingan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Pendirian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Kelompok Pra Koperasi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didampingi dan diberikan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untuk mendirikan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koperasi</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867"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66FF9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2.17.09.4.02</w:t>
            </w:r>
          </w:p>
        </w:tc>
        <w:tc>
          <w:tcPr>
            <w:tcW w:w="1989" w:type="dxa"/>
            <w:tcBorders>
              <w:top w:val="single" w:color="000000" w:sz="2" w:space="0"/>
              <w:left w:val="single" w:color="000000" w:sz="2" w:space="0"/>
              <w:bottom w:val="single" w:color="000000" w:sz="2" w:space="0"/>
              <w:right w:val="single" w:color="000000" w:sz="2" w:space="0"/>
            </w:tcBorders>
            <w:shd w:val="clear" w:color="auto" w:fill="66FF9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Pemberian pendampingan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penyuluhan pendirian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66FF9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66FF99"/>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2.17.09.4.02.0001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Pemberian Akta Notaris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bagi Koperasi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koperasi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mendapatkan fasilitasi akta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notaris</w:t>
            </w:r>
          </w:p>
        </w:tc>
        <w:tc>
          <w:tcPr>
            <w:tcW w:w="6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after="0" w:line="240" w:lineRule="auto"/>
              <w:jc w:val="righ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Mewujudkan reformasi birokrasi perangkat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833"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Indeks Reformasi birokrasi perangkat daerah</w:t>
            </w:r>
          </w:p>
        </w:tc>
        <w:tc>
          <w:tcPr>
            <w:tcW w:w="634"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 (B)</w:t>
            </w:r>
          </w:p>
        </w:tc>
        <w:tc>
          <w:tcPr>
            <w:tcW w:w="566"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74 (B)</w:t>
            </w:r>
          </w:p>
        </w:tc>
        <w:tc>
          <w:tcPr>
            <w:tcW w:w="960"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78 (B)</w:t>
            </w:r>
          </w:p>
        </w:tc>
        <w:tc>
          <w:tcPr>
            <w:tcW w:w="991"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82 (B)</w:t>
            </w: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82 (B)</w:t>
            </w:r>
          </w:p>
        </w:tc>
        <w:tc>
          <w:tcPr>
            <w:tcW w:w="1016"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867"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Meningkatkan kepercayaan masyarakat terhadap pelayanan perangkat daerah</w:t>
            </w: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Nilai SAKIP perangkat daerah</w:t>
            </w:r>
          </w:p>
        </w:tc>
        <w:tc>
          <w:tcPr>
            <w:tcW w:w="634"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ind w:firstLine="120" w:firstLineChars="100"/>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60 (B)</w:t>
            </w:r>
          </w:p>
        </w:tc>
        <w:tc>
          <w:tcPr>
            <w:tcW w:w="566"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75 (BB)</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80 (A)</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80 (A)</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80 (A)</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bottom"/>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Cambria" w:hAnsi="Cambria" w:eastAsia="Cambria" w:cs="Cambria"/>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Laporan keuangan OPD sesuai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Standar Akuntansi Pemerintahan</w:t>
            </w:r>
          </w:p>
        </w:tc>
        <w:tc>
          <w:tcPr>
            <w:tcW w:w="6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Sesuai</w:t>
            </w:r>
          </w:p>
        </w:tc>
        <w:tc>
          <w:tcPr>
            <w:tcW w:w="566"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Sesuai</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Sesuai</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Sesuai</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Sesuai</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Cambria" w:hAnsi="Cambria" w:eastAsia="Cambria" w:cs="Cambria"/>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Indeks kepuasan masyarakat terhadap pelayanan perangkat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6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78 (B)</w:t>
            </w:r>
          </w:p>
        </w:tc>
        <w:tc>
          <w:tcPr>
            <w:tcW w:w="566"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84 (B)</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 (B)</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 (B)</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 (B)</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867" w:type="dxa"/>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vMerge w:val="restart"/>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w:t>
            </w:r>
          </w:p>
        </w:tc>
        <w:tc>
          <w:tcPr>
            <w:tcW w:w="1989" w:type="dxa"/>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PROGRAM PENUNJANG URUSAN PEMERINTAHAN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Capaian Kinerja</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70.53</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5,189,923,872</w:t>
            </w:r>
          </w:p>
        </w:tc>
        <w:tc>
          <w:tcPr>
            <w:tcW w:w="54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71.51</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5,405,318,095</w:t>
            </w:r>
          </w:p>
        </w:tc>
        <w:tc>
          <w:tcPr>
            <w:tcW w:w="50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72.31</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5,644,329,596</w:t>
            </w:r>
          </w:p>
        </w:tc>
        <w:tc>
          <w:tcPr>
            <w:tcW w:w="4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72.31</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16,239,571,563</w:t>
            </w:r>
          </w:p>
        </w:tc>
        <w:tc>
          <w:tcPr>
            <w:tcW w:w="884" w:type="dxa"/>
            <w:vMerge w:val="restart"/>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vMerge w:val="continue"/>
            <w:tcBorders>
              <w:top w:val="single" w:color="000000" w:sz="2" w:space="0"/>
              <w:left w:val="single" w:color="000000" w:sz="2" w:space="0"/>
              <w:bottom w:val="single" w:color="000000" w:sz="2" w:space="0"/>
              <w:right w:val="single" w:color="000000" w:sz="2" w:space="0"/>
            </w:tcBorders>
            <w:shd w:val="clear" w:color="auto" w:fill="F6EA97"/>
            <w:noWrap/>
            <w:vAlign w:val="center"/>
          </w:tcPr>
          <w:p>
            <w:pPr>
              <w:spacing w:after="0" w:line="240" w:lineRule="auto"/>
              <w:jc w:val="left"/>
              <w:rPr>
                <w:rFonts w:ascii="Cambria" w:hAnsi="Cambria" w:eastAsia="Cambria" w:cs="Cambria"/>
                <w:color w:val="000000"/>
                <w:sz w:val="12"/>
                <w:szCs w:val="12"/>
              </w:rPr>
            </w:pPr>
          </w:p>
        </w:tc>
        <w:tc>
          <w:tcPr>
            <w:tcW w:w="1989" w:type="dxa"/>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Capaian Kinerja Keuangan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91</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95</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95</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spacing w:after="0" w:line="240" w:lineRule="auto"/>
              <w:jc w:val="right"/>
              <w:rPr>
                <w:rFonts w:ascii="Times New Roman" w:hAnsi="Times New Roman" w:eastAsia="Times New Roman" w:cs="Times New Roman"/>
                <w:color w:val="000000"/>
                <w:sz w:val="12"/>
                <w:szCs w:val="12"/>
              </w:rPr>
            </w:pPr>
          </w:p>
        </w:tc>
        <w:tc>
          <w:tcPr>
            <w:tcW w:w="884" w:type="dxa"/>
            <w:vMerge w:val="continue"/>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center"/>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Perencanaan, Penganggaran, dan Evaluasi Kinerja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Dokumen Perencanaan, Penganggaran dan Evaluasi Kinerja yang tersusun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156,000,000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183,000,000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207,000,000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546,000,000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Penyusunan Dokumen Perencanaan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Perencanaan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Perangkat Daerah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Dokumen RKA-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RKA-SKPD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 Hasil Koordinasi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Penyusunan Dokumen RKA-SKPD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Dokumen Perubahan RKA-SKPD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Perubahan RKA-SKPD dan Laporan Hasil Koordinasi Penyusunan Dokumen Perubahan RKA-SKPD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DPA-SKPD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DPA-SKPD dan Laporan Hasil Koordinasi Penyusunan Dokumen DPA- 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Perubahan DPA-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 xml:space="preserve">Jumlah Dokumen Perubahan DPA-SKPD dan Laporan Hasil Koordinasi Penyusunan Dokumen Perubahan DPA-SKPD </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Laporan Capaian Kinerja dan Ikhtisar Realisasi Kinerja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Capaian Kinerja dan Ikhtisar Realisasi Kinerja SKPD dan Laporan Hasil Koordinasi Penyusunan Laporan Capaian Kinerja dan Ikhtisar Realisasi Kinerja SKPD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105,000,000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X.XX.01.2.01.0007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Evaluasi Kinerja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Evaluasi Kinerja PerangkatDaerah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41,000,000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48,000,000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139,000,000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Administrasi Keuangan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Peningkatan Laporan Capaian Kinerja dan Keuangan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3,153,709,507</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3,259,909,507</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3,368,109,507</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9,781,728,521</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Gaji dan Tunjangan ASN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Orang yang Menerima Gaji dan Tunjangan ASN (Orang/bulan)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3,118,409,507</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3,218,409,507</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3,318,409,507</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117</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9,655,228,521</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Administrasi Pelaksanaan Tugas ASN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Penyediaan Administrasi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Pelaksanaan Tugas ASN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1"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Penatausahaan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Pengujian/Verifikasi Keuangan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Penatausahaan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Pengujian/Verifikasi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Keuangan 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Pelaksanaan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Akuntansi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Koordinasi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Pelaksanaan Akuntansi 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Times New Roman" w:hAnsi="Times New Roman" w:eastAsia="SimSun" w:cs="Times New Roman"/>
                <w:color w:val="000000"/>
                <w:sz w:val="12"/>
                <w:szCs w:val="12"/>
                <w:lang w:eastAsia="zh-CN" w:bidi="ar"/>
              </w:rPr>
              <w:t xml:space="preserve"> </w:t>
            </w: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Laporan Keuangan Akhir Tahun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Keuangan Akhir Tahun SKPD dan Laporan Hasil Koordinasi Penyusunan Laporan Keuangan Akhir Tahun SKPD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15,300,000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17,500,000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20,700,000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53,500,000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Pengelolaan dan Penyiapan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Bahan Tanggapan Pemeriksaan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Bahan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Tanggapan Pemeriksaan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Tindak Lanjut Pemeriksaan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Penyusunan Laporan Keuangan Bulanan/ Triwulanan/ Semesteran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Keuangan Bulanan/ Triwulanan/ Semesteran SKPD dan Laporan Koordinasi Penyusunan Laporan Keuangan Bulanan/Triwulanan/Semesteran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SKPD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X.XX.01.2.02.0008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Penyusunan Pelaporan dan Analisis PrognosisRealisasi Anggaran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Pelaporan dan AnalisisPrognosis Realisasi Anggaran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34,000,000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Administrasi Barang Milik Daerah pada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Laporan Administrasi BMD yang tersusun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Penyusunan Perencanaan Kebutuhan BarangMilik Daerah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Rencana Kebutuhan Barang MilikDaerah 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Pengawasan, dan Pengendalian Barang Milik Daerah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Pembinaan, Pengawasan,dan Pengendalian Barang Milik Daerah pada SKPD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Penilaian Barang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Milik Daerah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Penilaian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Barang Milik Daerah dan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Koordinasi Penilaian Barang Milik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SKPD</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Pengawasan,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Pengendalian Barang Milik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Pembinaan,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Pengawasan, dan Pengendalian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Barang Milik Daerah pada SKPD</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Rekonsiliasi dan Penyusunan Laporan Barang Milik Daerah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Rekonsiliasi  dan Penyusunan Laporan Barang Milik Daerah pada SKPD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Penatausahaan Barang Milik Daerah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Penatausahaan Barang MilikDaerah pada SKPD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X.XX.01.2.03.0007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Pemanfaatan Barang Milik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Pemanfaatan Barang Milik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SKPD</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Administrasi Pendapatan Daerah Kewenangan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Dokumen Administrasi Pendapatan daerah yang tersususn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Perencanaan Pengelolaan Retribusi 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Rencana Pengelolaan RetribusiDaerah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Analisa dan Pengembangan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Retribusi Daerah, serta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Penyusunan Kebijakan Retribusi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Hasil Analisis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serta Pengembangan Retribusi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dan Kebijakan Retribusi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top"/>
          </w:tcPr>
          <w:p>
            <w:pPr>
              <w:keepNext w:val="0"/>
              <w:keepLines w:val="0"/>
              <w:widowControl/>
              <w:suppressLineNumbers w:val="0"/>
              <w:spacing w:after="0" w:line="240" w:lineRule="auto"/>
              <w:jc w:val="righ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Penyuluhan dan Penyebarluasan Kebijakan Retribusi 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Penyuluhan dan Penyebarluasan Kebijakan Retribusi Daerah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Pendataan dan Pendaftaran Objek RetribusiDaerah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Data Objek, Subjek dan Wajib RetribusiDaerah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Pengolahan Data Retribusi 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Pengolahan, Pemeliharaan, dan Pelaporan Data RetribusiDaerah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Penetapan Wajib Retribusi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Ketetapan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Retribusi Daerah</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spacing w:after="0" w:line="240" w:lineRule="auto"/>
              <w:jc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X.XX.01.2.04.0007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Pelaporan Pengelolaan Retribusi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Pengelolaan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Retribusi Daerah</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spacing w:after="0" w:line="240" w:lineRule="auto"/>
              <w:jc w:val="right"/>
              <w:rPr>
                <w:rFonts w:ascii="Cambria" w:hAnsi="Cambria" w:eastAsia="Cambria" w:cs="Cambria"/>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Administrasi Kepegawaian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peningkatan administrasi kepegawaian perangkat daerah</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102,500,000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116,200,000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137,914,383</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356,614,383</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Peningkatan Sarana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Prasarana Disiplin Pegawai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Peningkatan Sarana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Prasarana Disiplin Pegawai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Pakaian Dinas beserta AtributKelengkapannya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Pakaian Dinas beserta AtributKelengkapan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Pendataan dan Pengolahan AdministrasiKepegawaian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Pendataan dan PengolahanAdministrasi Kepegawaian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22,914,383</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54,914,383</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Pelaksanaan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Informasi Kepegawaian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Hasil Koordinasi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Pelaksanaaan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Informasi Kepegawaian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Monitoring, Evaluasi, dan Penilaian KinerjaPegawai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Monitoring, Evaluasi, danPenilaian Kinerja Pegawai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Pemulangan Pegawai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Pensiun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Pegawai Pensiun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Dipulangkan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Pemulangan Pegawai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Meninggal dalam Melaksanakan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Tugas</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Pemulangan Pegawai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Meninggal dalam Melaksanakan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Tugas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Pemindahan Tugas ASN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ASN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dipindahtugaskan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Pendidikan dan Pelatihan Pegawai Berdasarkan Tugas dan Fungsi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Pegawai Berdasarkan Tugas dan Fungsi yang Mengikuti Pendidikan dan Pelatihan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X.XX.01.2.05.0010</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Sosialisasi Peraturan Perundang</w:t>
            </w:r>
            <w:r>
              <w:rPr>
                <w:rFonts w:ascii="Arial" w:hAnsi="Arial" w:eastAsia="Cambria" w:cs="Arial"/>
                <w:color w:val="000000"/>
                <w:sz w:val="12"/>
                <w:szCs w:val="12"/>
                <w:lang w:eastAsia="zh-CN" w:bidi="ar"/>
              </w:rPr>
              <w:t xml:space="preserve"> </w:t>
            </w:r>
            <w:r>
              <w:rPr>
                <w:rFonts w:ascii="Cambria" w:hAnsi="Cambria" w:eastAsia="Cambria" w:cs="Cambria"/>
                <w:color w:val="000000"/>
                <w:sz w:val="12"/>
                <w:szCs w:val="12"/>
                <w:lang w:eastAsia="zh-CN" w:bidi="ar"/>
              </w:rPr>
              <w:t>Undangan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Orang yang Mengikuti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Sosialisasi Peraturan Perundang</w:t>
            </w:r>
            <w:r>
              <w:rPr>
                <w:rFonts w:ascii="Arial" w:hAnsi="Arial" w:eastAsia="Cambria" w:cs="Arial"/>
                <w:color w:val="000000"/>
                <w:sz w:val="12"/>
                <w:szCs w:val="12"/>
                <w:lang w:eastAsia="zh-CN" w:bidi="ar"/>
              </w:rPr>
              <w:t xml:space="preserve"> </w:t>
            </w:r>
            <w:r>
              <w:rPr>
                <w:rFonts w:ascii="Cambria" w:hAnsi="Cambria" w:eastAsia="Cambria" w:cs="Cambria"/>
                <w:color w:val="000000"/>
                <w:sz w:val="12"/>
                <w:szCs w:val="12"/>
                <w:lang w:eastAsia="zh-CN" w:bidi="ar"/>
              </w:rPr>
              <w:t>Undangan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X.XX.01.2.05.0011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Bimbingan Teknis Implementasi Peraturan Perundang-Undangan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Orang yang Mengikuti Bimbingan Teknis Implementasi Peraturan Perundang-Undangan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29,200,000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91,700,000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Administrasi Umum Perangkat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Kelancaran Administras dan Operasional Perkantoran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668,500,000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699,900,000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736,500,000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2,104,900,000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Komponen Instalasi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Listrik/Penerangan Bangunan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Komponen Instalasi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Listrik/Penerangan Bangunan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 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Peralatan dan Perlengkapan Kantor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Peralatan dan PerlengkapanKantor 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626,000,000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Peralatan Rumah Tangga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Peralatan Rumah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Tangga 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Bahan Logistik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Bahan Logistik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 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Barang Cetakan dan Penggandaan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Barang Cetakan dan Penggandaanyang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87</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72,000,000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94</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271</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217,000,000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Bahan Bacaan dan Peraturan Perundang-undangan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Bahan Bacaan dan Peraturan Perundang- Undangan yang Disediakan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14,500,000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33,500,000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Bahan/Material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Bahan/Material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Disediakan (Paket)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Kunjungan Tamu</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Fasilitasi Kunjungan Tamu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1520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Penyelenggaraan Rapat Koordinasi danKonsultasi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Penyelenggaraan RapatKoordinasi dan Konsultasi SKPD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365,500,000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375,900,000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397,000,000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836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1,138,400,000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X.XX.01.2.06.0010</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Penatausahaan Arsip Dinamis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Penatausahaan Arsip Dinamispada SKPD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X.XX.01.2.06.0011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Dukungan Pelaksanaan Sistem Pemerintahan Berbasis Elektronik pada SKPD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Dukungan PelaksanaanSistem Pemerintahan Berbasis Elektronik pada SKPD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Barang Milik Daerah Penunjang Urusan Pemerintah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Kelancaran Administrasi, Keuangan dan Operasional Perkantoran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434,000,000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450,000,000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467,000,000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1,351,000,000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Kendaraan Perorangan Dinas atau Kendaraan Dinas Jabatan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Kendaraan Perorangan Dinas atau Kendaraan Dinas Jabatan yang Disediakan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40,000,000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Kendaraan Dinas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Operasional atau Lapangan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Kendaraan Dinas</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Operasional atau Lapangan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Alat Besar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Alat Besar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Alat Angkutan Darat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Tak Bermotor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Alat Angkutan Darat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Tak Bermotor yang 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Mebel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Paket Mebel yang Disediakan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Peralatan dan Mesin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Peralatan dan Mesin Lainnya yangDisediakan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Aset Tetap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Aset Tetap Lainnya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Aset Tak Berwujud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Aset Tak Berwujud</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Gedung Kantor atau BangunanLainnya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Gedung Kantor atau BangunanLainnya yang Disediakan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118,000,000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122,000,000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365,000,000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X.XX.01.2.07.0010</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Sarana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Prasarana Gedung Kantor atau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Bangunan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Sarana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Prasarana Gedung Kantor atau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Bangunan Lainnya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X.XX.01.2.07.0011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Pengadaan Sarana dan Prasarana Pendukung Gedung Kantor atau Bangunan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Sarana dan Prasarana Pendukung Gedung Kantor atau Bangunan Lainnya yangDisediakan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26,000,000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X.XX.01.2.08</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Penunjang Urusan Pemerintahan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Kelancaran Administrasi dan Operasional Perkantoran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528,600,000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539,000,000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555,000,000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1,622,600,000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X.XX.01.2.08.0001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Surat Menyurat</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Penyediaan Jasa SuratMenyurat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33,500,000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X.XX.01.2.08.0002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Komunikasi, Sumber Daya Air dan Listrik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Penyediaan Jasa Komunikasi, Sumber Daya Air dan Listrik yang Disediakan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86,100,000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88,000,000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269,100,000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X.XX.01.2.08.0003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Peralatan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Perlengkapan KantOR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Penyediaan Jasa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Peralatan dan Perlengkapan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 yang Disediakan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X.XX.01.2.08.0004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Pelayanan Umum Kantor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Penyediaan Jasa PelayananUmum Kantor yang Disediakan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435,000,000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440,000,000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1,320,000,000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 Barang Milik Daerah Penunjang Urusan Pemerintahan Daerah</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kelancaran administrasi barang milik daerah</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135,614,365</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144,308,588</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157,805,706</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437,728,659</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Penyediaan Jasa Pemeliharaan, Biaya Pemeliharaan, dan Pajak Kendaraan Perorangan Dinas atau Kendaraan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Dinas Jabatan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Kendaraan Perorangan Dinas atau Kendaraan Dinas Jabatan yang Dipelihara dan dibayarkan Pajaknya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64,800,000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68,600,000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72,930,000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206,330,000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Penyediaan Jasa Pemeliharaan, Biaya Pemeliharaan, Pajak dan Perizinan Kendaraan Dinas Operasional atau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Kendaraan Dinas Operasional atau Lapangan yang Dipelihara dan dibayarkan Pajak dan Perizinannya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Pemeliharaan,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Biaya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Pemeliharaan dan Perizinan Alat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Besar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Alat Besar yang Dipelihara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dibayarkan Perizinannya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Jasa Pemeliharaan,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Biaya Pemeliharaan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Perizinan Alat Angkutan Darat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Tak Bermotor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Alat Angkutan Darat Tak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Bermotor yang Dipelihara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Dibayarkan Perizinannya (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 Mebel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Mebel yang Dipelihara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 Peralatan dan Mesin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Peralatan dan Mesin Lainnya yangDipelihara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20,514,000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22,000,000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67,514,000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X.XX.01.2.09.0007</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 Aset Tetap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Aset Tetap Lainnya yang Dipelihara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X.XX.01.2.09.0008</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 Aset Tak Berwujud</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Aset Tak Berwujud yang Dipelihara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X.XX.01.2.09.0009</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Pemeliharaan/Rehabilitasi Gedung Kantor danBangunan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Gedung Kantor dan Bangunan Lainnyayang Dipelihara/Direhabilitasi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50,300,365</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53,708,588</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59,875,706</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163,884,659</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X.XX.01.2.09.0010</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 xml:space="preserve">Pemeliharaan/Rehabilitasi </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Sarana dan Prasarana Gedung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Kantor atau Bangunan 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Sarana dan Prasarana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Gedung Kantor atau Bangunan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Lainnya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Dipelihara/Direhabilitasi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X.XX.01.2.09.0011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Pemeliharaan/Rehabilitasi Sarana dan Prasarana Pendukung Gedung Kantor atau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BangunanLainnya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Sarana dan Prasarana Pendukung Gedung Kantor atau Bangunan Lainnya yangDipelihara/Direhabilitasi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X.XX.01.2.09.0012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Pemeliharaan/Rehabilitasi Tanah</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Luas Tanah yang Dilakukan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Pemeliharaan/Rehabilitasi</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D3E8ED"/>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Meningkatkan penguatan pasar daerah guna meningkatkan perdagangan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w:t>
            </w:r>
          </w:p>
        </w:tc>
        <w:tc>
          <w:tcPr>
            <w:tcW w:w="833"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Kontribusi sektor perdagangan terhadap PDRB</w:t>
            </w:r>
          </w:p>
        </w:tc>
        <w:tc>
          <w:tcPr>
            <w:tcW w:w="634"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7,80</w:t>
            </w:r>
          </w:p>
        </w:tc>
        <w:tc>
          <w:tcPr>
            <w:tcW w:w="566"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7,92</w:t>
            </w:r>
          </w:p>
        </w:tc>
        <w:tc>
          <w:tcPr>
            <w:tcW w:w="96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8,385,041,552</w:t>
            </w:r>
          </w:p>
        </w:tc>
        <w:tc>
          <w:tcPr>
            <w:tcW w:w="549"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7,94</w:t>
            </w:r>
          </w:p>
        </w:tc>
        <w:tc>
          <w:tcPr>
            <w:tcW w:w="991"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8,677,086,650</w:t>
            </w:r>
          </w:p>
        </w:tc>
        <w:tc>
          <w:tcPr>
            <w:tcW w:w="500"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7,96</w:t>
            </w:r>
          </w:p>
        </w:tc>
        <w:tc>
          <w:tcPr>
            <w:tcW w:w="1000"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8,994,162,547</w:t>
            </w:r>
          </w:p>
        </w:tc>
        <w:tc>
          <w:tcPr>
            <w:tcW w:w="484" w:type="dxa"/>
            <w:tcBorders>
              <w:top w:val="single" w:color="000000" w:sz="2" w:space="0"/>
              <w:left w:val="single" w:color="000000" w:sz="2" w:space="0"/>
              <w:bottom w:val="single" w:color="000000" w:sz="2" w:space="0"/>
              <w:right w:val="single" w:color="000000" w:sz="2" w:space="0"/>
            </w:tcBorders>
            <w:shd w:val="clear" w:color="auto" w:fill="D3E8ED"/>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7,96</w:t>
            </w:r>
          </w:p>
        </w:tc>
        <w:tc>
          <w:tcPr>
            <w:tcW w:w="1016" w:type="dxa"/>
            <w:tcBorders>
              <w:top w:val="single" w:color="000000" w:sz="2" w:space="0"/>
              <w:left w:val="single" w:color="000000" w:sz="2" w:space="0"/>
              <w:bottom w:val="single" w:color="000000" w:sz="2" w:space="0"/>
              <w:right w:val="single" w:color="000000" w:sz="2" w:space="0"/>
            </w:tcBorders>
            <w:shd w:val="clear" w:color="auto" w:fill="D3E8ED"/>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32,248,387,499</w:t>
            </w:r>
          </w:p>
        </w:tc>
        <w:tc>
          <w:tcPr>
            <w:tcW w:w="884" w:type="dxa"/>
            <w:tcBorders>
              <w:top w:val="single" w:color="000000" w:sz="2" w:space="0"/>
              <w:left w:val="single" w:color="000000" w:sz="2" w:space="0"/>
              <w:bottom w:val="single" w:color="000000" w:sz="2" w:space="0"/>
              <w:right w:val="single" w:color="000000" w:sz="2" w:space="0"/>
            </w:tcBorders>
            <w:shd w:val="clear" w:color="auto" w:fill="D3E8ED"/>
            <w:vAlign w:val="top"/>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7"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restart"/>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Meningkatnya potensi keersediaan fasilitas perdagangan dan penguatan pengawasan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perdagangan.</w:t>
            </w: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Fasilitas Perdagngan yang memenuhi standar</w:t>
            </w:r>
          </w:p>
        </w:tc>
        <w:tc>
          <w:tcPr>
            <w:tcW w:w="63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w:t>
            </w:r>
          </w:p>
        </w:tc>
        <w:tc>
          <w:tcPr>
            <w:tcW w:w="566"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68,75</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8,385,041,552</w:t>
            </w:r>
          </w:p>
        </w:tc>
        <w:tc>
          <w:tcPr>
            <w:tcW w:w="549"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8,677,086,650</w:t>
            </w:r>
          </w:p>
        </w:tc>
        <w:tc>
          <w:tcPr>
            <w:tcW w:w="500"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81,25</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8,994,162,547</w:t>
            </w:r>
          </w:p>
        </w:tc>
        <w:tc>
          <w:tcPr>
            <w:tcW w:w="48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81,25</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32,248,387,499</w:t>
            </w: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terkendalinya harga komoditas perdagangan</w:t>
            </w:r>
          </w:p>
        </w:tc>
        <w:tc>
          <w:tcPr>
            <w:tcW w:w="63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w:t>
            </w:r>
          </w:p>
        </w:tc>
        <w:tc>
          <w:tcPr>
            <w:tcW w:w="566"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67"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833" w:type="dxa"/>
            <w:vMerge w:val="continue"/>
            <w:tcBorders>
              <w:top w:val="single" w:color="000000" w:sz="2" w:space="0"/>
              <w:left w:val="single" w:color="000000" w:sz="2" w:space="0"/>
              <w:bottom w:val="single" w:color="000000" w:sz="2" w:space="0"/>
              <w:right w:val="single" w:color="000000" w:sz="2" w:space="0"/>
            </w:tcBorders>
            <w:shd w:val="clear" w:color="auto" w:fill="7CDAEF"/>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989"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1750" w:type="dxa"/>
            <w:tcBorders>
              <w:top w:val="single" w:color="000000" w:sz="2" w:space="0"/>
              <w:left w:val="single" w:color="000000" w:sz="2" w:space="0"/>
              <w:bottom w:val="single" w:color="000000" w:sz="2" w:space="0"/>
              <w:right w:val="single" w:color="000000" w:sz="2" w:space="0"/>
            </w:tcBorders>
            <w:shd w:val="clear" w:color="auto" w:fill="7CDAEF"/>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Kecukupan Komoditas Perdagangan</w:t>
            </w:r>
          </w:p>
        </w:tc>
        <w:tc>
          <w:tcPr>
            <w:tcW w:w="63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49"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500"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c>
          <w:tcPr>
            <w:tcW w:w="484" w:type="dxa"/>
            <w:tcBorders>
              <w:top w:val="single" w:color="000000" w:sz="2" w:space="0"/>
              <w:left w:val="single" w:color="000000" w:sz="2" w:space="0"/>
              <w:bottom w:val="single" w:color="000000" w:sz="2" w:space="0"/>
              <w:right w:val="single" w:color="000000" w:sz="2" w:space="0"/>
            </w:tcBorders>
            <w:shd w:val="clear" w:color="auto" w:fill="7CDAEF"/>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right"/>
              <w:rPr>
                <w:rFonts w:ascii="Times New Roman" w:hAnsi="Times New Roman" w:eastAsia="Times New Roman" w:cs="Times New Roman"/>
                <w:color w:val="000000"/>
                <w:sz w:val="12"/>
                <w:szCs w:val="12"/>
              </w:rPr>
            </w:pPr>
          </w:p>
        </w:tc>
        <w:tc>
          <w:tcPr>
            <w:tcW w:w="884" w:type="dxa"/>
            <w:tcBorders>
              <w:top w:val="single" w:color="000000" w:sz="2" w:space="0"/>
              <w:left w:val="single" w:color="000000" w:sz="2" w:space="0"/>
              <w:bottom w:val="single" w:color="000000" w:sz="2" w:space="0"/>
              <w:right w:val="single" w:color="000000" w:sz="2" w:space="0"/>
            </w:tcBorders>
            <w:shd w:val="clear" w:color="auto" w:fill="7CDAEF"/>
            <w:vAlign w:val="center"/>
          </w:tcPr>
          <w:p>
            <w:pPr>
              <w:spacing w:after="0" w:line="240" w:lineRule="auto"/>
              <w:jc w:val="left"/>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PERIZINAN DAN PENDAFTARAN PERUSAHAAN</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Izin Usaha Sektor Perdagangan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103,906,266</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106,398,977</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108,937,657</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520,611,900</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Izin Pengelolaan Pasar Rakyat, Pusat Perbelanjaan, dan Izin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Usaha Toko Swalayan</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rekomendasi izin pengelolaan pasar rakyat, pusat perbelanjaan, dan izin usaha toko swalayan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103,906,266</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106,398,977</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108,937,657</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520,611,900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Fasilitasi Pemenuhan Komitmen Perolehan Perizinan Pasar Rakyat, Pusat Perbelanjaan, dan Toko Swalayan Melalui Sistem Pelayanan Perizinan Berusaha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Rekomendasi Pemenuhan Komitmen Perolehan Perizinan Pasar Rakyat, Pusat Perbelanjaan, dan Toko Swalayan Melalui Sistem Pelayanan Perizinan Berusaha Terintegrasi Secara Elektronik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249</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103,906,266</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249</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106,398,977</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108,937,657</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1248</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520,611,900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pembinaan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pemantauan kepemilikan Nomor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Induk Berusaha (NIB) untuk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distributor, agen,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grosir/perkulakan dan toko</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swalayan melalui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Perizinan Berusaha melalui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pembinaan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pemantauan kepemilikan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Nomor Induk Berusaha (NIB)</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untuk distributor, agen,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grosir/perkulakan dan toko</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swalayan melalui SIstem Perizinan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Berusaha melalui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Penerbitan Tanda Daftar Gudang</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tanda daftar gudang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Penerbitan Tanda Daftar Gudang</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Tanda Daftar Gudang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3.30.02.2.03</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Surat Tanda Pendaftaran Waralaba (STPW) untuk Penerima Waralaba dari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Surat Tanda Pendaftaran Waralaba (STPW) untuk Penerima Waralaba dari Waralaba Dalam Negeri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3.30.02.2.03.0001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Fasilitasi Perizinan Surat Tanda Pendaftaran dan/atau Lanjutan Waralaba (STPW) Dalam Negeri Terintegrasi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Secara 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Perizinan Surat Tanda Pendaftaran dan/atau Lanjutan Waralaba (STPW) Dalam Negeri Terintegrasi Secara Elektronik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3.30.02.2.03.0002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Komitmen Perolehan Surat Tanda Pendaftaran dan/atau Lanjutan Waralaba (STPW) Dalam Negeri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yang Diverifikasi sebagai Pemenuhan Komitmen Perolehan Surat Tanda Pendaftaran dan/atau Lanjutan Waralaba (STPW)Dalam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3.30.02.2.03.0003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Perizinan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Waralaba (STPW)</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untuk penerima waralaba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negeri dan penerima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lanjutan dalam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terintegrasi secara 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Perizinan Surat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Tanda Pendaftaran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(STPW) untuk penerima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 dan penerima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waralaba lanjutan dalam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yang terintegrasi secara elektronik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3.30.02.2.03.0004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Komitmen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Perolehan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Waralaba (STPW)</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penerima waralaba Dalam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penerima waralaba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 melalui sistem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terintegrasi secara 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yang di verifikasi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sebagai Pemenuhan Komitmen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Perolehan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Waralaba (STPW)</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penerima waralaba Dalam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penerima waralaba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 melalui sistem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terintegrasi secara elektronik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3.30.02.2.04</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Surat Izin Usaha Perdagangan Minuman Beralkohol Golongan B dan C untuk Pengecer dan Penjual Langsung Minum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Tempat</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Surat Izin Usaha Perdagangan Minuman Beralkohol Golongan B dan C untuk Pengecer dan Penjual Langsung Minum di Tempat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3.30.02.2.04.0001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Sistem Pelayanan Perizinan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Lanjutan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dan/atau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Waralaba (STPW) Terintegrasi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Secara Elektronik Luar Negeri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Data dan Informasi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Pelayanan Perizinan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Surat Tanda Pendaftaran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dan/atau Lanjutan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(STPW)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 Luar Negeri (Dokumen )</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3.30.02.2.04.0002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Surat Tanda Pendaftaran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dan/atau Lanjutan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(STPW) Luar Negeri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Diverifikasi sebagai Pemenuhan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Lanjutan Surat Tanda Pendaftaran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dan/atau Lanjutan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(STPW) Luar Negeri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3.30.02.2.04.0003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Pemenuhan Surat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Tanda Pendaftaran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(STPW) untuk penerima waralaba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lanjutan luar negeri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terintegrasi secara 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yang di verifikasi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sebagai Pemenuhan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Waralaba (STPW)</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untuk penerima waralaba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luar negeri yang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7"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3.30.02.2.04.0004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Sistem Pelayanan Perizinan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Surat Tanda Pendaftaran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Waralaba (STPW) untuk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penerima waralaba lanjutan luar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negeri yang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data dan Informasi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Pelayanan Perizinan Surat Tanda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Waralaba (STPW)</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untuk penerima waralaba lanjutan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luar negeri yang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3.30.02.2.05</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Surat Izin Usaha Perdagangan Minuman Beralkohol Golongan B dan C untuk Pengecer dan Penjual Langsung Minum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Tempat</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Surat Izin Usaha Perdagangan Minuman Beralkohol Golongan B dan C untuk Pengecer dan Penjual Langsung Minum di Tempat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3.30.02.2.05.0001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Penerbitan Surat Izin Usaha Perdagangan Minuman Beralkohol Golongan B dan C</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Surat Izin Usaha Perdagangan untuk Pengecer dan Penjual Langsung Minuman Beralkohol Golongan B dan C yang Diterbitkan Melalui Sistem Pelayanan Perizinan Berusaha Terintegrasi Secara Elektronik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3.30.02.2.05.0002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Penerbitan Surat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Keterangan Pengecer (SKP)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Surat Keterangan Penjual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Langsung Minuman Beralkohol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(SKPL) Golongan B dan C</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Surat Keterangan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Pengecer (SKP) Untuk Pengecer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Surat Keterangan Penjual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Langsung Minuman Beralkohol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(SKPL) untuk Penjual Langsung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Minuman Beralkohol Golongan B</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C yang diterbitkan melalui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Pelayanan Perizinan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Berusaha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Minuman Beralkohol Golongan B</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C yang diterbitkan melalui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Pelayanan Perizinan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Berusaha Terintegrasi Secara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Elektronik</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3.30.02.2.06</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Pengendalian Fasilitas Penyimpanan Bahan Berbahaya dan Pengawasan Distribusi, Pengemasan dan Pelabelan Bahan Berbahaya di Tingkat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Daerah Kabupaten/ 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Fasilitas Penyimpanan Bahan Berbahaya dan Pengawasan Distribusi, Pengemasan dan Pelabelan Bahan Berbahaya di Tingkat Daerah Kabupaten/ Kota yang dipantau</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4"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3.30.02.2.06.0001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Pemeriksaan Penyimpanan Bahan Berbahaya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Hasil PemeriksaanPenyimpanan Bahan Berbahaya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4"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3.30.02.2.06.0002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Fasilitasi Pemenuhan Komitmen Pemeriksaan Distribusi Bahan Berbahaya bagi P-B2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PA- B2</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Hasil Fasilitasi Proses Pemenuhan Komitmen Pemeriksaan Distribusi Bahan Berbahaya bagi P-B2 dan PA-B2</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3.30.02.2.06.0003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Pengawasan Distribusi, Pengemasan dan Pelabelan Bahan Berbahaya Terhadap Pengguna Akhir Bahan Berbahaya (PA-B2) maupun Produsen B2 (P-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B2)</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Hasil Pengawasan Distribusi, Pengemasan dan Pelabelan Bahan Berbahaya Terhadap Distributor B2, Pengguna Akhir Bahan Berbahaya (PA-B2) maupun Produsen B2 (P-B2)</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3.30.02.2.07</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Penerbitan Surat Keterangan Asal (bagi Daerah Kabupaten/Kota yang Telah Ditetapkan Sebagai Instansi Penerbit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Surat Keterangan Asal)</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Surat Keterangan Asal yang diterbitkan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4"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3.30.02.2.07.0001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Koordinasi dan Sinkronisasi Layanan PenerbitanSKA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Penerbitan Surat KeteranganAsal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3.30.02.3.08</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Pengelolaan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 Bag</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3.30.02.3.08.0001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Kemudahan biaya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pengelolaan pasar rakyat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bagi OAP</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Fasilitasi Kemudahan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biaya dalam pengelolaan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 bagi OAP</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3.30.02.3.09</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Perizinan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3.30.02.3.09.0001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OAP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Pengurusan Perizinan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Perusahaan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Pembinaan OAP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Pengurusan Perizinan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Perusahaan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Dilaksanakan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3.30.02.4.08</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Pengelolaan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 Bagi OAP</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center"/>
              <w:rPr>
                <w:rFonts w:ascii="Cambria" w:hAnsi="Cambria" w:eastAsia="Cambria" w:cs="Cambria"/>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3.30.02.4.08.0001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Kemudahan biaya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pengelolaan pasar rakyat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bagi OAP</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Fasilitasi Kemudahan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biaya dalam pengelolaan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 bagi OAP</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3.30.02.4.09</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Perizinan Usaha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center"/>
              <w:rPr>
                <w:rFonts w:ascii="Times New Roman" w:hAnsi="Times New Roman" w:eastAsia="Times New Roman" w:cs="Times New Roman"/>
                <w:color w:val="000000"/>
                <w:sz w:val="12"/>
                <w:szCs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3.30.02.4.09.0001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OAP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Pengurusan Perizinan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Perusahaan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Pembinaan OAP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Pengurusan Perizinan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Pendaftaran Perusahaan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Dilaksanakan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7"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PENINGKATAN 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ketersediaan sarana prasarana perdagangan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155,859,399</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159,598,466</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163,406,485</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780,917,850</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Pembangunan dan Pengelolaan 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ketersediaan sarana prasarana perdagangan (%)</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93,559,399</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95,598,466</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97,000,485</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467,061,850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Penyediaan 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Sarana Distribusi Perdagangan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42,059,399</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43,098,466</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44,200,000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209,611,365</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Fasilitasi Pengelolaan Sarana DistribusiPerdagangan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Fasilitasi Pengelolaan Sarana DistribusiPerdagangan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52,500,000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52,800,485</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257,450,485</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fasilitasi terkait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Rersi Gudang di wilayah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kegiatan fasilitasi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Resi Gudang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 xml:space="preserve"> (Kegiatan)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Identifikasi terhadap lembaga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komoditas potensial Sistem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Resi Gudang di wilayah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identifikasi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lembaga dan komoditas potensial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Sistem Resi Gudang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Pembinaan terhadap Pengelola Sarana Distribusi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Perdagangan Masyarakat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 Wilayah Kerjanya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pembinaan terhadap pengelola sarana distribusi perdagangan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62,300,000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64,000,000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66,406,000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313,856,000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Pembinaan dan Pengendalian Pengelola 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Hasil Pembinaan dan Pengendalian kepada Pengelola Sarana DistribusiPerdagangan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35,300,000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37,206,000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178,656,000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3.30.03.2.02.0002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Pemberdayaan Pengelola 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Dokumen Hasil Pembinaan dan Pengendalian kepada Pengelola Sarana DistribusiPerdagangan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29,200,000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135,200,000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3.30.03.3.01</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Pembangunan dan Pengelolaan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Sarana Distribusi 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3.30.03.3.01.0003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Pemberian bantuan terhadap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OAP Dalam Distribusi Barang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Hasil Produksi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bantuan terhadap OAP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Distribusi Barang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Produksi di Kabupaten/Kota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diberikan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867"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9ECA1"/>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3.30.03.4.01</w:t>
            </w:r>
          </w:p>
        </w:tc>
        <w:tc>
          <w:tcPr>
            <w:tcW w:w="1989" w:type="dxa"/>
            <w:tcBorders>
              <w:top w:val="single" w:color="000000" w:sz="2" w:space="0"/>
              <w:left w:val="single" w:color="000000" w:sz="2" w:space="0"/>
              <w:bottom w:val="single" w:color="000000" w:sz="2" w:space="0"/>
              <w:right w:val="single" w:color="000000" w:sz="2" w:space="0"/>
            </w:tcBorders>
            <w:shd w:val="clear" w:color="auto" w:fill="A9ECA1"/>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Pembangunan dan Pengelolaan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Sarana DistribusiPerdagangan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9ECA1"/>
            <w:vAlign w:val="center"/>
          </w:tcPr>
          <w:p>
            <w:pPr>
              <w:spacing w:after="0" w:line="240" w:lineRule="auto"/>
              <w:jc w:val="left"/>
              <w:rPr>
                <w:rFonts w:ascii="Cambria" w:hAnsi="Cambria" w:eastAsia="Cambria" w:cs="Cambria"/>
                <w:color w:val="000000"/>
                <w:sz w:val="12"/>
                <w:szCs w:val="12"/>
              </w:rPr>
            </w:pPr>
          </w:p>
        </w:tc>
        <w:tc>
          <w:tcPr>
            <w:tcW w:w="63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9ECA1"/>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9ECA1"/>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3.30.03.4.01.0003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Pemberian bantuan terhadap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OAP Dalam Distribusi Barang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Hasil Produksi di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bantuan terhadap OAP</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Distribusi Barang Hasil</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Produksi di Kabupaten/Kota yang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diberikan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STABILISASI HARGA BARANG KEBUTUHAN POKOK DAN BARANG PENTING</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jenis komoditi yang dipantau</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467,578,197</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478,795,398</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490,219,456</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2,342,753,551</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Menjamin Ketersediaan Barang Kebutuhan Pokok dan Barang Penting di Tingkat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 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Akses Kebutuhan Pokok yang dipantau</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154,950,000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157,900,000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161,400,000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775,250,000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Koordinasi dan Sinkronisasi Ketersediaan Barang Kebutuhan Pokok dan Barang Penting di Tingkat Agen dan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Koordinasi dan Sinkronisasi Ketersediaan Barang Kebutuhan Pokok dan Barang Penting di Tingkat Agen dan PasarRakyat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52,700,000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53,900,000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258,500,000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Koordinasi dan Sinkronisasi Peningkatan Aksesibilitas Barang Kebutuhan Pokok dan Barang Penting di Tingkat Agen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PasarRakyat</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Koordinasi dan Sinkronisasi Peningkatan Aksesibilitas Barang Kebutuhan Pokok dan Barang Penting di Tingkat Agen danPasar Rakyat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52,700,000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53,900,000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258,450,000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Pengendalian Ketersediaan Barang Kebutuhan Pokok dan Barang Penting di Tingkat Agen dan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Rakyat</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Pengendalian Stok atau Ketersediaan Barang Kebutuhan Pokok dan Barang Penting di Tingkat Agen dan PasarRakyat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51,950,000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52,500,000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53,600,000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258,300,000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3.30.04.2.02</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Pengendalian Harga, dan Stok Barang Kebutuhan Pokok dan Barang Penting di Tingkat Pasar</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barang kebutuhan pokok dan barang penting yang dikendalikan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275,278,197</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281,000,000</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285,000,000</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1,375,988,697</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3.30.04.2.02.0001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Pemantauan Harga dan Stok Barang Kebutuhan Pokok dan Barang Penting pada Pelaku Usaha Distribusi Barang dalam 1 (Satu)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Pemantauan Harga dan Stok Barang Kebutuhan Pokok dan Barang Penting pada Pelaku Usaha Distribusi Barang dalam 1 (Satu) Kabupaten/Kota</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120,828,197</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123,900,000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124,100,000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600,828,197</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3.30.04.2.02.0002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Pemantauan Harga dan Stok Barang Kebutuhan Pokok dan Barang Penting pada Pasar Rakyat yang Terintegrasi dalam Sistem Informasi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Perdagangan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Pemantauan Harga dan Stok Barang Kebutuhan Pokok dan Barang Penting pada Pasar Rakyat yang Terintegrasi dalam Sistem Informasi Perdagangan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103,250,000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104,700,000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106,900,000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517,310,000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3.30.04.2.02.0003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Pelaksanaan Operasi Pasar Reguler dan Pasar Khusus yang Berdampak dalam 1</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(Satu)Kabupaten/Kota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Pelaksanaan Operasi Pasar Reguler dan Pasar Khusus yang Berdampakdalam 1 (Satu)</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51,200,000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52,400,000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54,000,000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257,850,500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3.30.04.2.03</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Pengawasan Pupuk dan Pestisida Bersubsidi di Tingkat Daerah 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Pengawasan Pupuk dan Pestisida Bersubsidi di Tingkat Daerah Kabupaten/Kota</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37,350,000</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39,895,398</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43,819,456</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191,514,854</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3.30.04.2.03.0001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Pemeriksaan Kelengkapan Legalitas DokumenPerizinan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Dokumen Kelengkapan LegalitasDokumen Perizinan (Dokumen)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82,650,000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3.30.04.2.03.0002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Pengawasan Pengadaan Pupuk dan PestisidaBersubsidi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Laporan Pengawasan Pengadaan Pupukdan Pestisida Bersubsidi (Laporan)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10,350,000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11,895,398</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12,819,456</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55,164,854</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3.30.04.2.03.0003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Pengawasan Penyaluran dan Penggunaan Pupuk dan Pestisida Bersubsidi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Jumlah Laporan Pengawasan Penyaluran dan Penggunaan Pupuk dan Pestisida Bersubsidi dengan Realisasi Minimal 90%</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(Laporan)</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10,500,000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12,000,000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53,700,000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PENGEMBANGAN EKSPOR</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peningkatan jumlah komoditi ekspor</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187,031,279</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191,518,159</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196,087,783</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937,101,421</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Penyelenggaraan Promosi Dagang melalui Pameran Dagang dan Misi Dagang bagi Produk Ekspor Unggulan yang terdapat pada 1 (satu) Daerah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barang/jasa atau komoditi unggulan daerah serta perluasan pasar yang dikembangkan</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187,031,279</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191,518,159</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13</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196,087,783</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937,101,421</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6"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Pameran Dagang Nasional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Pelaku Usaha yang Difasilitasi dalam Pameran Dagang (Pelaku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45,200,000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156,814,200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Pameran Dagang Lokal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Pelaku Usaha yang Difasilitasi dalam Pameran Dagang Lokal (Pelaku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35,850,000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36,750,000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37,500,000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140,300,000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Misi Dagang bagi Produk Ekspor Unggulan</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Pelaku Usaha yang Difasilitasi dalam Misi Dagang Produk Ekspor Unggulan (Pelaku Usaha)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66,181,279</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543,000,000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271,431,279</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2"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3.30.05.2.01.0005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Peningkatan Citra Produk Ekspor</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Produk Unggulan Ekspor Daerah yangDisusun Menjadi Materi Promosi (Produk)</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25,850,000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36,750,000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37,500,000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140,300,000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3,30,06</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STANDARDISASI DAN PERLINDUNGAN KONSUMEN</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alat ukur yang ditera</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436,406,317</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446,875,705</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457,538,159</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2,186,569,981</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3.30.06.2.01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Metrologi Legal berupa, Tera, Tera Ulang, dan Pengawasan</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alat ukur yang ditera (%)</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436,406,317</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446,875,705</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457,538,159</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2,186,569,981</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3.30.06.2.01.0001</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Metrologi Legal, Berupa Tera, Tera Ulang</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Alat Ukur, Alat Takar, Alat Timbang, dan Alat Perlengkapan Ditera Ulang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166,406,317</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168,875,705</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650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172,538,159</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3250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830,069,981</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3.30.06.2.01.0002</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Pengawasan/Penyuluhan Metrologi Legal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Pelaku Usaha di Bidang Metrologi Legalyang Dibina (Orang)</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231</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231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206,000,000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231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211,000,000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231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214,000,000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1155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1,033,000,000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3.30.06.2.01.0003</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Penyidikan Metrologi Legal</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Jumlah Unit Hasil Penyidikan Metrologi Legal (Unit)</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64,000,000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67,000,000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1500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ind w:firstLine="360" w:firstLineChars="3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71,000,000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7500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323,500,000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67"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F6EA97"/>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3,30,07</w:t>
            </w:r>
          </w:p>
        </w:tc>
        <w:tc>
          <w:tcPr>
            <w:tcW w:w="1989"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PROGRAM PENGGUNAAN DAN PEMASARAN PRODUK DALAM NEGERI</w:t>
            </w:r>
          </w:p>
        </w:tc>
        <w:tc>
          <w:tcPr>
            <w:tcW w:w="175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Persentase produk lokal yang dipasarkan</w:t>
            </w:r>
          </w:p>
        </w:tc>
        <w:tc>
          <w:tcPr>
            <w:tcW w:w="63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25</w:t>
            </w:r>
          </w:p>
        </w:tc>
        <w:tc>
          <w:tcPr>
            <w:tcW w:w="566"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37</w:t>
            </w:r>
          </w:p>
        </w:tc>
        <w:tc>
          <w:tcPr>
            <w:tcW w:w="96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103,906,266</w:t>
            </w:r>
          </w:p>
        </w:tc>
        <w:tc>
          <w:tcPr>
            <w:tcW w:w="549"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39</w:t>
            </w:r>
          </w:p>
        </w:tc>
        <w:tc>
          <w:tcPr>
            <w:tcW w:w="991"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106,398,977</w:t>
            </w:r>
          </w:p>
        </w:tc>
        <w:tc>
          <w:tcPr>
            <w:tcW w:w="500"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42</w:t>
            </w:r>
          </w:p>
        </w:tc>
        <w:tc>
          <w:tcPr>
            <w:tcW w:w="1000"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ind w:firstLine="240" w:firstLineChars="200"/>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108,937,657</w:t>
            </w:r>
          </w:p>
        </w:tc>
        <w:tc>
          <w:tcPr>
            <w:tcW w:w="484" w:type="dxa"/>
            <w:tcBorders>
              <w:top w:val="single" w:color="000000" w:sz="2" w:space="0"/>
              <w:left w:val="single" w:color="000000" w:sz="2" w:space="0"/>
              <w:bottom w:val="single" w:color="000000" w:sz="2" w:space="0"/>
              <w:right w:val="single" w:color="000000" w:sz="2" w:space="0"/>
            </w:tcBorders>
            <w:shd w:val="clear" w:color="auto" w:fill="F6EA97"/>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42</w:t>
            </w:r>
          </w:p>
        </w:tc>
        <w:tc>
          <w:tcPr>
            <w:tcW w:w="1016" w:type="dxa"/>
            <w:tcBorders>
              <w:top w:val="single" w:color="000000" w:sz="2" w:space="0"/>
              <w:left w:val="single" w:color="000000" w:sz="2" w:space="0"/>
              <w:bottom w:val="single" w:color="000000" w:sz="2" w:space="0"/>
              <w:right w:val="single" w:color="000000" w:sz="2" w:space="0"/>
            </w:tcBorders>
            <w:shd w:val="clear" w:color="auto" w:fill="F6EA97"/>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520,611,900</w:t>
            </w:r>
          </w:p>
        </w:tc>
        <w:tc>
          <w:tcPr>
            <w:tcW w:w="884" w:type="dxa"/>
            <w:tcBorders>
              <w:top w:val="single" w:color="000000" w:sz="2" w:space="0"/>
              <w:left w:val="single" w:color="000000" w:sz="2" w:space="0"/>
              <w:bottom w:val="single" w:color="000000" w:sz="2" w:space="0"/>
              <w:right w:val="single" w:color="000000" w:sz="2" w:space="0"/>
            </w:tcBorders>
            <w:shd w:val="clear" w:color="auto" w:fill="F6EA97"/>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trPr>
        <w:tc>
          <w:tcPr>
            <w:tcW w:w="867"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B4F5A9"/>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3.30.07.2.01</w:t>
            </w:r>
          </w:p>
        </w:tc>
        <w:tc>
          <w:tcPr>
            <w:tcW w:w="1989"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Promosi, Pemasaran dan Peningkatan Penggunaan Produk Dalam Negeri</w:t>
            </w:r>
          </w:p>
        </w:tc>
        <w:tc>
          <w:tcPr>
            <w:tcW w:w="1750"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prasarana yang digunakan dalam meningkatkan penggunaan produk dalam negeri</w:t>
            </w:r>
          </w:p>
        </w:tc>
        <w:tc>
          <w:tcPr>
            <w:tcW w:w="63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566"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96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103,906,266</w:t>
            </w:r>
          </w:p>
        </w:tc>
        <w:tc>
          <w:tcPr>
            <w:tcW w:w="549"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991"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106,398,977</w:t>
            </w:r>
          </w:p>
        </w:tc>
        <w:tc>
          <w:tcPr>
            <w:tcW w:w="500"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00"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108,937,657</w:t>
            </w:r>
          </w:p>
        </w:tc>
        <w:tc>
          <w:tcPr>
            <w:tcW w:w="484" w:type="dxa"/>
            <w:tcBorders>
              <w:top w:val="single" w:color="000000" w:sz="2" w:space="0"/>
              <w:left w:val="single" w:color="000000" w:sz="2" w:space="0"/>
              <w:bottom w:val="single" w:color="000000" w:sz="2" w:space="0"/>
              <w:right w:val="single" w:color="000000" w:sz="2" w:space="0"/>
            </w:tcBorders>
            <w:shd w:val="clear" w:color="auto" w:fill="B4F5A9"/>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B4F5A9"/>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520,611,900</w:t>
            </w:r>
          </w:p>
        </w:tc>
        <w:tc>
          <w:tcPr>
            <w:tcW w:w="884" w:type="dxa"/>
            <w:tcBorders>
              <w:top w:val="single" w:color="000000" w:sz="2" w:space="0"/>
              <w:left w:val="single" w:color="000000" w:sz="2" w:space="0"/>
              <w:bottom w:val="single" w:color="000000" w:sz="2" w:space="0"/>
              <w:right w:val="single" w:color="000000" w:sz="2" w:space="0"/>
            </w:tcBorders>
            <w:shd w:val="clear" w:color="auto" w:fill="B4F5A9"/>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3.30.07.2.01.0004</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Pemberdayaan Masyarakat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Peningkatan Penggunaan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dan Pemanfaatan Sandang</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Produksi Dalam Negeri</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Orang yang Mengikuti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Pemberdayaan Masyarakat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Peningkatan Penggunaan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Pemanfaatan Sandang Produksi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Dalam Negeri</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71,000,000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72,000,000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73,000,000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356,350,000</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Times New Roman" w:hAnsi="Times New Roman" w:eastAsia="Times New Roman" w:cs="Times New Roman"/>
                <w:color w:val="000000"/>
                <w:sz w:val="12"/>
                <w:szCs w:val="12"/>
              </w:rPr>
            </w:pPr>
            <w:r>
              <w:rPr>
                <w:rFonts w:ascii="Cambria" w:hAnsi="Cambria" w:eastAsia="Cambria" w:cs="Cambria"/>
                <w:color w:val="000000"/>
                <w:sz w:val="12"/>
                <w:szCs w:val="12"/>
                <w:lang w:eastAsia="zh-CN" w:bidi="ar"/>
              </w:rPr>
              <w:t>DINAS PERDAGANGAN, KOPERASI, USAHA KECIL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3.30.07.2.01.0005</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Pelaksanaan Promosi</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Penggunaan Produk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Negeri di Tingkat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memperoleh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fasilitasi Promosi Penggunaan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Produk Dalam Negeri di Tingkat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16,906,266</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17,198,977</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18,000,000</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82,624,243</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8" w:hRule="atLeast"/>
        </w:trPr>
        <w:tc>
          <w:tcPr>
            <w:tcW w:w="867"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833" w:type="dxa"/>
            <w:tcBorders>
              <w:top w:val="single" w:color="000000" w:sz="2" w:space="0"/>
              <w:left w:val="single" w:color="000000" w:sz="2" w:space="0"/>
              <w:bottom w:val="single" w:color="000000" w:sz="2" w:space="0"/>
              <w:right w:val="single" w:color="000000" w:sz="2" w:space="0"/>
            </w:tcBorders>
            <w:shd w:val="clear" w:color="auto" w:fill="auto"/>
            <w:vAlign w:val="top"/>
          </w:tcPr>
          <w:p>
            <w:pPr>
              <w:spacing w:after="0" w:line="240" w:lineRule="auto"/>
              <w:jc w:val="left"/>
              <w:rPr>
                <w:rFonts w:ascii="Times New Roman" w:hAnsi="Times New Roman" w:eastAsia="Times New Roman" w:cs="Times New Roman"/>
                <w:color w:val="000000"/>
                <w:sz w:val="12"/>
                <w:szCs w:val="12"/>
              </w:rPr>
            </w:pPr>
          </w:p>
        </w:tc>
        <w:tc>
          <w:tcPr>
            <w:tcW w:w="99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lef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3.30.07.2.01.0006</w:t>
            </w:r>
          </w:p>
        </w:tc>
        <w:tc>
          <w:tcPr>
            <w:tcW w:w="198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 xml:space="preserve"> Pemasaran dan Peningkatan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Penggunaan Produk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Negeri di Tingkat</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Kabupaten/Kota</w:t>
            </w:r>
          </w:p>
        </w:tc>
        <w:tc>
          <w:tcPr>
            <w:tcW w:w="175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left"/>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Jumlah UMKM yang memperoleh</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fasilitasi pemasaran produk dalam</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negeri melalui kemitraan dengan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retail, marketplace, perhotelan dan</w:t>
            </w:r>
            <w:r>
              <w:rPr>
                <w:rFonts w:ascii="Cambria" w:hAnsi="Cambria" w:eastAsia="Cambria" w:cs="Cambria"/>
                <w:color w:val="000000"/>
                <w:sz w:val="12"/>
                <w:szCs w:val="12"/>
                <w:lang w:eastAsia="zh-CN" w:bidi="ar"/>
              </w:rPr>
              <w:br w:type="textWrapping"/>
            </w:r>
            <w:r>
              <w:rPr>
                <w:rFonts w:ascii="Cambria" w:hAnsi="Cambria" w:eastAsia="Cambria" w:cs="Cambria"/>
                <w:color w:val="000000"/>
                <w:sz w:val="12"/>
                <w:szCs w:val="12"/>
                <w:lang w:eastAsia="zh-CN" w:bidi="ar"/>
              </w:rPr>
              <w:t>jasa akomodasi</w:t>
            </w:r>
          </w:p>
        </w:tc>
        <w:tc>
          <w:tcPr>
            <w:tcW w:w="63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566"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13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16,000,000</w:t>
            </w:r>
          </w:p>
        </w:tc>
        <w:tc>
          <w:tcPr>
            <w:tcW w:w="549"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99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17,200,000</w:t>
            </w:r>
          </w:p>
        </w:tc>
        <w:tc>
          <w:tcPr>
            <w:tcW w:w="5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jc w:val="center"/>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100</w:t>
            </w:r>
          </w:p>
        </w:tc>
        <w:tc>
          <w:tcPr>
            <w:tcW w:w="100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17,937,657</w:t>
            </w:r>
          </w:p>
        </w:tc>
        <w:tc>
          <w:tcPr>
            <w:tcW w:w="484" w:type="dxa"/>
            <w:tcBorders>
              <w:top w:val="single" w:color="000000" w:sz="2" w:space="0"/>
              <w:left w:val="single" w:color="000000" w:sz="2" w:space="0"/>
              <w:bottom w:val="single" w:color="000000" w:sz="2" w:space="0"/>
              <w:right w:val="single" w:color="000000" w:sz="2" w:space="0"/>
            </w:tcBorders>
            <w:shd w:val="clear" w:color="auto" w:fill="auto"/>
            <w:noWrap/>
            <w:vAlign w:val="center"/>
          </w:tcPr>
          <w:p>
            <w:pPr>
              <w:keepNext w:val="0"/>
              <w:keepLines w:val="0"/>
              <w:widowControl/>
              <w:suppressLineNumbers w:val="0"/>
              <w:spacing w:after="0" w:line="240" w:lineRule="auto"/>
              <w:ind w:firstLine="120" w:firstLineChars="100"/>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500</w:t>
            </w:r>
          </w:p>
        </w:tc>
        <w:tc>
          <w:tcPr>
            <w:tcW w:w="1016"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spacing w:after="0" w:line="240" w:lineRule="auto"/>
              <w:jc w:val="right"/>
              <w:textAlignment w:val="center"/>
              <w:rPr>
                <w:rFonts w:ascii="Cambria" w:hAnsi="Cambria" w:eastAsia="Cambria" w:cs="Cambria"/>
                <w:color w:val="000000"/>
                <w:sz w:val="12"/>
                <w:szCs w:val="12"/>
              </w:rPr>
            </w:pPr>
            <w:r>
              <w:rPr>
                <w:rFonts w:ascii="Cambria" w:hAnsi="Cambria" w:eastAsia="Cambria" w:cs="Cambria"/>
                <w:color w:val="000000"/>
                <w:sz w:val="12"/>
                <w:szCs w:val="12"/>
                <w:lang w:eastAsia="zh-CN" w:bidi="ar"/>
              </w:rPr>
              <w:t>81,637,657</w:t>
            </w:r>
          </w:p>
        </w:tc>
        <w:tc>
          <w:tcPr>
            <w:tcW w:w="88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spacing w:after="0" w:line="240" w:lineRule="auto"/>
              <w:jc w:val="center"/>
              <w:textAlignment w:val="top"/>
              <w:rPr>
                <w:rFonts w:ascii="Cambria" w:hAnsi="Cambria" w:eastAsia="Cambria" w:cs="Cambria"/>
                <w:color w:val="000000"/>
                <w:sz w:val="12"/>
                <w:szCs w:val="12"/>
              </w:rPr>
            </w:pPr>
            <w:r>
              <w:rPr>
                <w:rFonts w:ascii="Cambria" w:hAnsi="Cambria" w:eastAsia="Cambria" w:cs="Cambria"/>
                <w:color w:val="000000"/>
                <w:sz w:val="12"/>
                <w:szCs w:val="12"/>
                <w:lang w:eastAsia="zh-CN" w:bidi="ar"/>
              </w:rPr>
              <w:t>DINAS PERDAGANGAN, KOPERASI, USAHA KECIL DAN MENENGAH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633" w:type="dxa"/>
            <w:gridSpan w:val="7"/>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center"/>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Total</w:t>
            </w:r>
          </w:p>
        </w:tc>
        <w:tc>
          <w:tcPr>
            <w:tcW w:w="1134"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center"/>
              <w:rPr>
                <w:rFonts w:ascii="Times New Roman" w:hAnsi="Times New Roman" w:eastAsia="Times New Roman" w:cs="Times New Roman"/>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p>
        </w:tc>
        <w:tc>
          <w:tcPr>
            <w:tcW w:w="533"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center"/>
              <w:rPr>
                <w:rFonts w:ascii="Times New Roman" w:hAnsi="Times New Roman" w:eastAsia="Times New Roman" w:cs="Times New Roman"/>
                <w:color w:val="000000"/>
                <w:sz w:val="12"/>
                <w:szCs w:val="12"/>
              </w:rPr>
            </w:pPr>
          </w:p>
        </w:tc>
        <w:tc>
          <w:tcPr>
            <w:tcW w:w="96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8,385,041,552</w:t>
            </w:r>
          </w:p>
        </w:tc>
        <w:tc>
          <w:tcPr>
            <w:tcW w:w="549"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2"/>
                <w:szCs w:val="12"/>
              </w:rPr>
            </w:pPr>
          </w:p>
        </w:tc>
        <w:tc>
          <w:tcPr>
            <w:tcW w:w="991"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8,677,086,650</w:t>
            </w:r>
          </w:p>
        </w:tc>
        <w:tc>
          <w:tcPr>
            <w:tcW w:w="500"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2"/>
                <w:szCs w:val="12"/>
              </w:rPr>
            </w:pPr>
          </w:p>
        </w:tc>
        <w:tc>
          <w:tcPr>
            <w:tcW w:w="1000"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8,994,162,547</w:t>
            </w:r>
          </w:p>
        </w:tc>
        <w:tc>
          <w:tcPr>
            <w:tcW w:w="484"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2"/>
                <w:szCs w:val="12"/>
              </w:rPr>
            </w:pPr>
          </w:p>
        </w:tc>
        <w:tc>
          <w:tcPr>
            <w:tcW w:w="1016" w:type="dxa"/>
            <w:tcBorders>
              <w:top w:val="single" w:color="000000" w:sz="2" w:space="0"/>
              <w:left w:val="single" w:color="000000" w:sz="2" w:space="0"/>
              <w:bottom w:val="single" w:color="000000" w:sz="2" w:space="0"/>
              <w:right w:val="single" w:color="000000" w:sz="2" w:space="0"/>
            </w:tcBorders>
            <w:shd w:val="clear" w:color="auto" w:fill="0091DB"/>
            <w:vAlign w:val="top"/>
          </w:tcPr>
          <w:p>
            <w:pPr>
              <w:keepNext w:val="0"/>
              <w:keepLines w:val="0"/>
              <w:widowControl/>
              <w:suppressLineNumbers w:val="0"/>
              <w:spacing w:after="0" w:line="240" w:lineRule="auto"/>
              <w:jc w:val="right"/>
              <w:textAlignment w:val="top"/>
              <w:rPr>
                <w:rFonts w:ascii="Cambria" w:hAnsi="Cambria" w:eastAsia="Cambria" w:cs="Cambria"/>
                <w:b/>
                <w:bCs/>
                <w:color w:val="000000"/>
                <w:sz w:val="12"/>
                <w:szCs w:val="12"/>
              </w:rPr>
            </w:pPr>
            <w:r>
              <w:rPr>
                <w:rFonts w:ascii="Cambria" w:hAnsi="Cambria" w:eastAsia="Cambria" w:cs="Cambria"/>
                <w:b/>
                <w:bCs/>
                <w:color w:val="000000"/>
                <w:sz w:val="12"/>
                <w:szCs w:val="12"/>
                <w:lang w:eastAsia="zh-CN" w:bidi="ar"/>
              </w:rPr>
              <w:t>32,248,387,499</w:t>
            </w:r>
          </w:p>
        </w:tc>
        <w:tc>
          <w:tcPr>
            <w:tcW w:w="884" w:type="dxa"/>
            <w:tcBorders>
              <w:top w:val="single" w:color="000000" w:sz="2" w:space="0"/>
              <w:left w:val="single" w:color="000000" w:sz="2" w:space="0"/>
              <w:bottom w:val="single" w:color="000000" w:sz="2" w:space="0"/>
              <w:right w:val="single" w:color="000000" w:sz="2" w:space="0"/>
            </w:tcBorders>
            <w:shd w:val="clear" w:color="auto" w:fill="0091DB"/>
            <w:vAlign w:val="bottom"/>
          </w:tcPr>
          <w:p>
            <w:pPr>
              <w:spacing w:after="0" w:line="240" w:lineRule="auto"/>
              <w:jc w:val="left"/>
              <w:rPr>
                <w:rFonts w:ascii="Times New Roman" w:hAnsi="Times New Roman" w:eastAsia="Times New Roman" w:cs="Times New Roman"/>
                <w:color w:val="000000"/>
                <w:sz w:val="12"/>
                <w:szCs w:val="12"/>
              </w:rPr>
            </w:pPr>
          </w:p>
        </w:tc>
      </w:tr>
    </w:tbl>
    <w:p>
      <w:pPr>
        <w:spacing w:after="0" w:line="240" w:lineRule="auto"/>
        <w:jc w:val="both"/>
        <w:rPr>
          <w:rFonts w:ascii="Arial Narrow" w:hAnsi="Arial Narrow" w:eastAsia="Times New Roman" w:cs="Calibri"/>
          <w:b/>
          <w:bCs/>
          <w:sz w:val="16"/>
          <w:szCs w:val="16"/>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tbl>
      <w:tblPr>
        <w:tblStyle w:val="4"/>
        <w:tblW w:w="16585" w:type="dxa"/>
        <w:tblInd w:w="108" w:type="dxa"/>
        <w:tblLayout w:type="autofit"/>
        <w:tblCellMar>
          <w:top w:w="0" w:type="dxa"/>
          <w:left w:w="108" w:type="dxa"/>
          <w:bottom w:w="0" w:type="dxa"/>
          <w:right w:w="108" w:type="dxa"/>
        </w:tblCellMar>
      </w:tblPr>
      <w:tblGrid>
        <w:gridCol w:w="523"/>
        <w:gridCol w:w="3320"/>
        <w:gridCol w:w="1037"/>
        <w:gridCol w:w="692"/>
        <w:gridCol w:w="692"/>
        <w:gridCol w:w="692"/>
        <w:gridCol w:w="692"/>
        <w:gridCol w:w="692"/>
        <w:gridCol w:w="1496"/>
        <w:gridCol w:w="1409"/>
        <w:gridCol w:w="1236"/>
        <w:gridCol w:w="4107"/>
      </w:tblGrid>
      <w:tr>
        <w:tblPrEx>
          <w:tblCellMar>
            <w:top w:w="0" w:type="dxa"/>
            <w:left w:w="108" w:type="dxa"/>
            <w:bottom w:w="0" w:type="dxa"/>
            <w:right w:w="108" w:type="dxa"/>
          </w:tblCellMar>
        </w:tblPrEx>
        <w:trPr>
          <w:trHeight w:val="315" w:hRule="atLeast"/>
        </w:trPr>
        <w:tc>
          <w:tcPr>
            <w:tcW w:w="16585" w:type="dxa"/>
            <w:gridSpan w:val="12"/>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 w:val="18"/>
                <w:szCs w:val="18"/>
              </w:rPr>
            </w:pPr>
            <w:bookmarkStart w:id="1" w:name="RANGE!A1:L24"/>
            <w:r>
              <w:rPr>
                <w:rFonts w:ascii="Bookman Old Style" w:hAnsi="Bookman Old Style" w:eastAsia="Times New Roman" w:cs="Calibri"/>
                <w:b/>
                <w:bCs/>
                <w:color w:val="000000"/>
                <w:sz w:val="18"/>
                <w:szCs w:val="18"/>
              </w:rPr>
              <w:t xml:space="preserve">Tabel 6.3.4. </w:t>
            </w:r>
            <w:bookmarkEnd w:id="1"/>
            <w:r>
              <w:rPr>
                <w:rFonts w:ascii="Bookman Old Style" w:hAnsi="Bookman Old Style" w:eastAsia="Times New Roman" w:cs="Calibri"/>
                <w:b/>
                <w:bCs/>
                <w:color w:val="000000"/>
                <w:sz w:val="18"/>
                <w:szCs w:val="18"/>
              </w:rPr>
              <w:t>( SEBELUM PERUBAHAN RENSTRA )</w:t>
            </w:r>
          </w:p>
        </w:tc>
      </w:tr>
      <w:tr>
        <w:tblPrEx>
          <w:tblCellMar>
            <w:top w:w="0" w:type="dxa"/>
            <w:left w:w="108" w:type="dxa"/>
            <w:bottom w:w="0" w:type="dxa"/>
            <w:right w:w="108" w:type="dxa"/>
          </w:tblCellMar>
        </w:tblPrEx>
        <w:trPr>
          <w:trHeight w:val="330" w:hRule="atLeast"/>
        </w:trPr>
        <w:tc>
          <w:tcPr>
            <w:tcW w:w="16585" w:type="dxa"/>
            <w:gridSpan w:val="12"/>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DAN KEGIATAN INVESTASI PEMBANGUNAN KABUPATEN KEPULAUAN SELAYAR</w:t>
            </w:r>
          </w:p>
        </w:tc>
      </w:tr>
      <w:tr>
        <w:tblPrEx>
          <w:tblCellMar>
            <w:top w:w="0" w:type="dxa"/>
            <w:left w:w="108" w:type="dxa"/>
            <w:bottom w:w="0" w:type="dxa"/>
            <w:right w:w="108" w:type="dxa"/>
          </w:tblCellMar>
        </w:tblPrEx>
        <w:trPr>
          <w:trHeight w:val="250" w:hRule="atLeast"/>
        </w:trPr>
        <w:tc>
          <w:tcPr>
            <w:tcW w:w="522" w:type="dxa"/>
            <w:vMerge w:val="restart"/>
            <w:tcBorders>
              <w:top w:val="single" w:color="auto" w:sz="8" w:space="0"/>
              <w:left w:val="single" w:color="auto" w:sz="8"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No.</w:t>
            </w:r>
          </w:p>
        </w:tc>
        <w:tc>
          <w:tcPr>
            <w:tcW w:w="3320"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 xml:space="preserve">Program/Kegiatan </w:t>
            </w:r>
          </w:p>
        </w:tc>
        <w:tc>
          <w:tcPr>
            <w:tcW w:w="1037" w:type="dxa"/>
            <w:vMerge w:val="restart"/>
            <w:tcBorders>
              <w:top w:val="single" w:color="auto" w:sz="8" w:space="0"/>
              <w:left w:val="single" w:color="auto" w:sz="4"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Volume</w:t>
            </w:r>
          </w:p>
        </w:tc>
        <w:tc>
          <w:tcPr>
            <w:tcW w:w="3460" w:type="dxa"/>
            <w:gridSpan w:val="5"/>
            <w:tcBorders>
              <w:top w:val="single" w:color="auto" w:sz="8" w:space="0"/>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 xml:space="preserve">Tahun Pelaksanaan </w:t>
            </w:r>
          </w:p>
        </w:tc>
        <w:tc>
          <w:tcPr>
            <w:tcW w:w="1495"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Detail Lokasi</w:t>
            </w:r>
          </w:p>
        </w:tc>
        <w:tc>
          <w:tcPr>
            <w:tcW w:w="1408"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Pagu Anggaran (Rp.)</w:t>
            </w:r>
          </w:p>
        </w:tc>
        <w:tc>
          <w:tcPr>
            <w:tcW w:w="1236"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Sumber Pendanaan</w:t>
            </w:r>
          </w:p>
        </w:tc>
        <w:tc>
          <w:tcPr>
            <w:tcW w:w="4107" w:type="dxa"/>
            <w:vMerge w:val="restart"/>
            <w:tcBorders>
              <w:top w:val="single" w:color="auto" w:sz="8" w:space="0"/>
              <w:left w:val="single" w:color="auto" w:sz="4" w:space="0"/>
              <w:bottom w:val="single" w:color="auto" w:sz="4" w:space="0"/>
              <w:right w:val="single" w:color="auto" w:sz="8"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Keterangan</w:t>
            </w:r>
          </w:p>
        </w:tc>
      </w:tr>
      <w:tr>
        <w:tblPrEx>
          <w:tblCellMar>
            <w:top w:w="0" w:type="dxa"/>
            <w:left w:w="108" w:type="dxa"/>
            <w:bottom w:w="0" w:type="dxa"/>
            <w:right w:w="108" w:type="dxa"/>
          </w:tblCellMar>
        </w:tblPrEx>
        <w:trPr>
          <w:trHeight w:val="315" w:hRule="atLeast"/>
        </w:trPr>
        <w:tc>
          <w:tcPr>
            <w:tcW w:w="522" w:type="dxa"/>
            <w:vMerge w:val="continue"/>
            <w:tcBorders>
              <w:top w:val="single" w:color="auto" w:sz="8" w:space="0"/>
              <w:left w:val="single" w:color="auto" w:sz="8"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3320"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037"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2022</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2023</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2024</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2025</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2026</w:t>
            </w:r>
          </w:p>
        </w:tc>
        <w:tc>
          <w:tcPr>
            <w:tcW w:w="1495"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408"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4107" w:type="dxa"/>
            <w:vMerge w:val="continue"/>
            <w:tcBorders>
              <w:top w:val="single" w:color="auto" w:sz="8" w:space="0"/>
              <w:left w:val="single" w:color="auto" w:sz="4" w:space="0"/>
              <w:bottom w:val="single" w:color="auto" w:sz="4" w:space="0"/>
              <w:right w:val="single" w:color="auto" w:sz="8" w:space="0"/>
            </w:tcBorders>
            <w:vAlign w:val="center"/>
          </w:tcPr>
          <w:p>
            <w:pPr>
              <w:spacing w:after="0" w:line="240" w:lineRule="auto"/>
              <w:rPr>
                <w:rFonts w:ascii="Bookman Old Style" w:hAnsi="Bookman Old Style" w:eastAsia="Times New Roman" w:cs="Calibri"/>
                <w:b/>
                <w:color w:val="000000"/>
                <w:sz w:val="18"/>
                <w:szCs w:val="18"/>
              </w:rPr>
            </w:pP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w:t>
            </w:r>
          </w:p>
        </w:tc>
        <w:tc>
          <w:tcPr>
            <w:tcW w:w="3320"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w:t>
            </w:r>
          </w:p>
        </w:tc>
        <w:tc>
          <w:tcPr>
            <w:tcW w:w="1037"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(3)</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(4)</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(5)</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(6)</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(7)</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(8)</w:t>
            </w:r>
          </w:p>
        </w:tc>
        <w:tc>
          <w:tcPr>
            <w:tcW w:w="1495"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(9)</w:t>
            </w:r>
          </w:p>
        </w:tc>
        <w:tc>
          <w:tcPr>
            <w:tcW w:w="1408"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(10)</w:t>
            </w:r>
          </w:p>
        </w:tc>
        <w:tc>
          <w:tcPr>
            <w:tcW w:w="1236"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(11)</w:t>
            </w:r>
          </w:p>
        </w:tc>
        <w:tc>
          <w:tcPr>
            <w:tcW w:w="4107" w:type="dxa"/>
            <w:tcBorders>
              <w:top w:val="nil"/>
              <w:left w:val="nil"/>
              <w:bottom w:val="single" w:color="auto" w:sz="4" w:space="0"/>
              <w:right w:val="single" w:color="auto" w:sz="8"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(12)</w:t>
            </w: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1</w:t>
            </w:r>
          </w:p>
        </w:tc>
        <w:tc>
          <w:tcPr>
            <w:tcW w:w="16063" w:type="dxa"/>
            <w:gridSpan w:val="11"/>
            <w:tcBorders>
              <w:top w:val="single" w:color="auto" w:sz="4" w:space="0"/>
              <w:left w:val="nil"/>
              <w:bottom w:val="single" w:color="auto" w:sz="4" w:space="0"/>
              <w:right w:val="single" w:color="000000" w:sz="8" w:space="0"/>
            </w:tcBorders>
            <w:shd w:val="clear" w:color="auto" w:fill="auto"/>
            <w:noWrap/>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Pemberdayaan Usaha Menengah, Usaha Kecil, dan Usaha Mikro (UMKM)</w:t>
            </w:r>
          </w:p>
        </w:tc>
      </w:tr>
      <w:tr>
        <w:tblPrEx>
          <w:tblCellMar>
            <w:top w:w="0" w:type="dxa"/>
            <w:left w:w="108" w:type="dxa"/>
            <w:bottom w:w="0" w:type="dxa"/>
            <w:right w:w="108" w:type="dxa"/>
          </w:tblCellMar>
        </w:tblPrEx>
        <w:trPr>
          <w:trHeight w:val="1336"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nil"/>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Pemberdayaan Usaha Mikro yang Dilakukan Melalui Pendataan, Kemitraan, Kemudahan Perijinan, Penguatan Kelembagaan dan Koordinasi dengan Para Pemangku Kepentingan</w:t>
            </w:r>
          </w:p>
        </w:tc>
        <w:tc>
          <w:tcPr>
            <w:tcW w:w="103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314 pelaku UKM; 1 unit</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Kec. Pasilambena; Kec. Taka Bonerate, Kec. Pasimarannu; Kec. Bontoharu, Kec. Benteng</w:t>
            </w:r>
          </w:p>
        </w:tc>
        <w:tc>
          <w:tcPr>
            <w:tcW w:w="1408"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700.000.000</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Kelengkapan Surat Kesanggupan daerah untuk operasional, Sertifikat tanah dan gambar rencana,Desain Gedung (sksterior dan Interior )sesuai ketetapan, dimana bentuk lar tidak menghilangkan bentuk dan ciri khas dari Gedung PLUT-KUMKM, Surat Penunjukan perangkat daerah yang membiangi Koperasi dan UMKM Kab/Kota sebagai Koordinator pelaksana program PLUT-KUMKM.</w:t>
            </w:r>
          </w:p>
        </w:tc>
      </w:tr>
      <w:tr>
        <w:tblPrEx>
          <w:tblCellMar>
            <w:top w:w="0" w:type="dxa"/>
            <w:left w:w="108" w:type="dxa"/>
            <w:bottom w:w="0" w:type="dxa"/>
            <w:right w:w="108" w:type="dxa"/>
          </w:tblCellMar>
        </w:tblPrEx>
        <w:trPr>
          <w:trHeight w:val="6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Pembuatan Dampok Pisang bagi Pelaku UKM</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Pasilambena</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539"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Pengolahan Ikan bagi Pelaku UKM</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Taka Bonerate</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60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Pengolahan Jambu Mente menjadi Keripik Jambu Mente</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Pasimarannu</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 sertifikat pelatihan</w:t>
            </w:r>
          </w:p>
        </w:tc>
      </w:tr>
      <w:tr>
        <w:tblPrEx>
          <w:tblCellMar>
            <w:top w:w="0" w:type="dxa"/>
            <w:left w:w="108" w:type="dxa"/>
            <w:bottom w:w="0" w:type="dxa"/>
            <w:right w:w="108" w:type="dxa"/>
          </w:tblCellMar>
        </w:tblPrEx>
        <w:trPr>
          <w:trHeight w:val="671"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Pembuatan Buah Aren (Nila) menjadi Kolang - Kaling</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Bontoharu</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459"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Sosialisasi tentang Kebijakan Pemerintah Daerah terhadap Pengembangan KUKM di Kabupaten Kepulauan Selayar</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Pelaku Usaha</w:t>
            </w:r>
          </w:p>
        </w:tc>
      </w:tr>
    </w:tbl>
    <w:p>
      <w:pPr>
        <w:spacing w:after="0" w:line="240" w:lineRule="auto"/>
        <w:jc w:val="center"/>
        <w:rPr>
          <w:rFonts w:ascii="Bookman Old Style" w:hAnsi="Bookman Old Style" w:eastAsia="Times New Roman" w:cs="Calibri"/>
          <w:sz w:val="18"/>
          <w:szCs w:val="18"/>
        </w:rPr>
        <w:sectPr>
          <w:pgSz w:w="20160" w:h="12240" w:orient="landscape"/>
          <w:pgMar w:top="1134" w:right="2268" w:bottom="1701" w:left="1134" w:header="720" w:footer="2268" w:gutter="0"/>
          <w:cols w:space="720" w:num="1"/>
          <w:docGrid w:linePitch="326" w:charSpace="0"/>
        </w:sectPr>
      </w:pPr>
    </w:p>
    <w:tbl>
      <w:tblPr>
        <w:tblStyle w:val="4"/>
        <w:tblW w:w="16585" w:type="dxa"/>
        <w:tblInd w:w="108" w:type="dxa"/>
        <w:tblLayout w:type="autofit"/>
        <w:tblCellMar>
          <w:top w:w="0" w:type="dxa"/>
          <w:left w:w="108" w:type="dxa"/>
          <w:bottom w:w="0" w:type="dxa"/>
          <w:right w:w="108" w:type="dxa"/>
        </w:tblCellMar>
      </w:tblPr>
      <w:tblGrid>
        <w:gridCol w:w="522"/>
        <w:gridCol w:w="3318"/>
        <w:gridCol w:w="1038"/>
        <w:gridCol w:w="692"/>
        <w:gridCol w:w="692"/>
        <w:gridCol w:w="692"/>
        <w:gridCol w:w="692"/>
        <w:gridCol w:w="692"/>
        <w:gridCol w:w="1495"/>
        <w:gridCol w:w="1409"/>
        <w:gridCol w:w="1236"/>
        <w:gridCol w:w="4107"/>
      </w:tblGrid>
      <w:tr>
        <w:tblPrEx>
          <w:tblCellMar>
            <w:top w:w="0" w:type="dxa"/>
            <w:left w:w="108" w:type="dxa"/>
            <w:bottom w:w="0" w:type="dxa"/>
            <w:right w:w="108" w:type="dxa"/>
          </w:tblCellMar>
        </w:tblPrEx>
        <w:trPr>
          <w:trHeight w:val="443" w:hRule="atLeast"/>
        </w:trPr>
        <w:tc>
          <w:tcPr>
            <w:tcW w:w="52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Kewirausahaan bagi Sentra UKM</w:t>
            </w:r>
          </w:p>
        </w:tc>
        <w:tc>
          <w:tcPr>
            <w:tcW w:w="103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96 pelaku UKM</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single" w:color="auto" w:sz="4" w:space="0"/>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Potensi Produk Unggulan</w:t>
            </w:r>
          </w:p>
        </w:tc>
      </w:tr>
      <w:tr>
        <w:tblPrEx>
          <w:tblCellMar>
            <w:top w:w="0" w:type="dxa"/>
            <w:left w:w="108" w:type="dxa"/>
            <w:bottom w:w="0" w:type="dxa"/>
            <w:right w:w="108" w:type="dxa"/>
          </w:tblCellMar>
        </w:tblPrEx>
        <w:trPr>
          <w:trHeight w:val="733"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Peningkatan SDM bagi Sentra UKM dengan Tema Bermuatan Lokal Berdaya Saing Global</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48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Potensi Produk Unggulan</w:t>
            </w: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16063" w:type="dxa"/>
            <w:gridSpan w:val="11"/>
            <w:tcBorders>
              <w:top w:val="single" w:color="auto" w:sz="4" w:space="0"/>
              <w:left w:val="nil"/>
              <w:bottom w:val="single" w:color="auto" w:sz="4" w:space="0"/>
              <w:right w:val="single" w:color="000000"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Pemberdayaan dan Perlindungan Koperasi</w:t>
            </w:r>
          </w:p>
        </w:tc>
      </w:tr>
      <w:tr>
        <w:tblPrEx>
          <w:tblCellMar>
            <w:top w:w="0" w:type="dxa"/>
            <w:left w:w="108" w:type="dxa"/>
            <w:bottom w:w="0" w:type="dxa"/>
            <w:right w:w="108" w:type="dxa"/>
          </w:tblCellMar>
        </w:tblPrEx>
        <w:trPr>
          <w:trHeight w:val="1118"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Pemberdayaan dan Perlindungan Koperasi yang Keanggotaannya Dalam Daerah Kabupaten/Kota</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5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Surat Mandat Koperasi</w:t>
            </w:r>
          </w:p>
        </w:tc>
      </w:tr>
      <w:tr>
        <w:tblPrEx>
          <w:tblCellMar>
            <w:top w:w="0" w:type="dxa"/>
            <w:left w:w="108" w:type="dxa"/>
            <w:bottom w:w="0" w:type="dxa"/>
            <w:right w:w="108" w:type="dxa"/>
          </w:tblCellMar>
        </w:tblPrEx>
        <w:trPr>
          <w:trHeight w:val="553"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Revitalisasi dan Aktivasi Koperasi dalam Rangka Mendukung Gerbang Sari</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5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Data Kelembagaan Koperasi</w:t>
            </w:r>
          </w:p>
        </w:tc>
      </w:tr>
      <w:tr>
        <w:tblPrEx>
          <w:tblCellMar>
            <w:top w:w="0" w:type="dxa"/>
            <w:left w:w="108" w:type="dxa"/>
            <w:bottom w:w="0" w:type="dxa"/>
            <w:right w:w="108" w:type="dxa"/>
          </w:tblCellMar>
        </w:tblPrEx>
        <w:trPr>
          <w:trHeight w:val="37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16063" w:type="dxa"/>
            <w:gridSpan w:val="11"/>
            <w:tcBorders>
              <w:top w:val="single" w:color="auto" w:sz="4" w:space="0"/>
              <w:left w:val="nil"/>
              <w:bottom w:val="single" w:color="auto" w:sz="4" w:space="0"/>
              <w:right w:val="single" w:color="000000"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Pendidikan dan Latihan Perkoperasian</w:t>
            </w:r>
          </w:p>
        </w:tc>
      </w:tr>
      <w:tr>
        <w:tblPrEx>
          <w:tblCellMar>
            <w:top w:w="0" w:type="dxa"/>
            <w:left w:w="108" w:type="dxa"/>
            <w:bottom w:w="0" w:type="dxa"/>
            <w:right w:w="108" w:type="dxa"/>
          </w:tblCellMar>
        </w:tblPrEx>
        <w:trPr>
          <w:trHeight w:val="936"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Pendidikan dan Latihan Perkoperasian Bagi Koperasi yang Wilayah Keanggotaan Dalam Daerah Kabupaten/Kota</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90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9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300.000.000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DAK</w:t>
            </w:r>
          </w:p>
        </w:tc>
        <w:tc>
          <w:tcPr>
            <w:tcW w:w="4107" w:type="dxa"/>
            <w:tcBorders>
              <w:top w:val="nil"/>
              <w:left w:val="nil"/>
              <w:bottom w:val="single" w:color="auto" w:sz="4" w:space="0"/>
              <w:right w:val="single" w:color="auto" w:sz="8" w:space="0"/>
            </w:tcBorders>
            <w:shd w:val="clear" w:color="auto" w:fill="auto"/>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Kelengkapan Surat mandat dari Koperasi</w:t>
            </w:r>
          </w:p>
        </w:tc>
      </w:tr>
      <w:tr>
        <w:tblPrEx>
          <w:tblCellMar>
            <w:top w:w="0" w:type="dxa"/>
            <w:left w:w="108" w:type="dxa"/>
            <w:bottom w:w="0" w:type="dxa"/>
            <w:right w:w="108" w:type="dxa"/>
          </w:tblCellMar>
        </w:tblPrEx>
        <w:trPr>
          <w:trHeight w:val="69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Akuntansi Dasar dan Tingkat Lanjutan</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Pengurus Koperasi</w:t>
            </w:r>
          </w:p>
        </w:tc>
      </w:tr>
      <w:tr>
        <w:tblPrEx>
          <w:tblCellMar>
            <w:top w:w="0" w:type="dxa"/>
            <w:left w:w="108" w:type="dxa"/>
            <w:bottom w:w="0" w:type="dxa"/>
            <w:right w:w="108" w:type="dxa"/>
          </w:tblCellMar>
        </w:tblPrEx>
        <w:trPr>
          <w:trHeight w:val="70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Manajemen Koperasi bagi Pengurus Koperasi USP dan KSP</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Pengurus Koperasi</w:t>
            </w:r>
          </w:p>
        </w:tc>
      </w:tr>
      <w:tr>
        <w:tblPrEx>
          <w:tblCellMar>
            <w:top w:w="0" w:type="dxa"/>
            <w:left w:w="108" w:type="dxa"/>
            <w:bottom w:w="0" w:type="dxa"/>
            <w:right w:w="108" w:type="dxa"/>
          </w:tblCellMar>
        </w:tblPrEx>
        <w:trPr>
          <w:trHeight w:val="559" w:hRule="atLeast"/>
        </w:trPr>
        <w:tc>
          <w:tcPr>
            <w:tcW w:w="522" w:type="dxa"/>
            <w:tcBorders>
              <w:top w:val="nil"/>
              <w:left w:val="single" w:color="auto" w:sz="8" w:space="0"/>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8"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Perkoperasian Syariah Tingkat Dasar</w:t>
            </w:r>
          </w:p>
        </w:tc>
        <w:tc>
          <w:tcPr>
            <w:tcW w:w="1037"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(Daratan dan Kepulauan)</w:t>
            </w:r>
          </w:p>
        </w:tc>
        <w:tc>
          <w:tcPr>
            <w:tcW w:w="1408"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8" w:space="0"/>
              <w:right w:val="single" w:color="auto" w:sz="8" w:space="0"/>
            </w:tcBorders>
            <w:shd w:val="clear" w:color="auto" w:fill="auto"/>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dari Kementerian Departemen Agama</w:t>
            </w:r>
          </w:p>
        </w:tc>
      </w:tr>
    </w:tbl>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tabs>
          <w:tab w:val="left" w:pos="1134"/>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tabs>
          <w:tab w:val="left" w:pos="1134"/>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p>
    <w:tbl>
      <w:tblPr>
        <w:tblStyle w:val="4"/>
        <w:tblW w:w="16585" w:type="dxa"/>
        <w:tblInd w:w="108" w:type="dxa"/>
        <w:tblLayout w:type="autofit"/>
        <w:tblCellMar>
          <w:top w:w="0" w:type="dxa"/>
          <w:left w:w="108" w:type="dxa"/>
          <w:bottom w:w="0" w:type="dxa"/>
          <w:right w:w="108" w:type="dxa"/>
        </w:tblCellMar>
      </w:tblPr>
      <w:tblGrid>
        <w:gridCol w:w="523"/>
        <w:gridCol w:w="3320"/>
        <w:gridCol w:w="1038"/>
        <w:gridCol w:w="692"/>
        <w:gridCol w:w="692"/>
        <w:gridCol w:w="692"/>
        <w:gridCol w:w="692"/>
        <w:gridCol w:w="692"/>
        <w:gridCol w:w="1496"/>
        <w:gridCol w:w="1409"/>
        <w:gridCol w:w="1236"/>
        <w:gridCol w:w="4107"/>
      </w:tblGrid>
      <w:tr>
        <w:tblPrEx>
          <w:tblCellMar>
            <w:top w:w="0" w:type="dxa"/>
            <w:left w:w="108" w:type="dxa"/>
            <w:bottom w:w="0" w:type="dxa"/>
            <w:right w:w="108" w:type="dxa"/>
          </w:tblCellMar>
        </w:tblPrEx>
        <w:trPr>
          <w:trHeight w:val="315" w:hRule="atLeast"/>
        </w:trPr>
        <w:tc>
          <w:tcPr>
            <w:tcW w:w="16585" w:type="dxa"/>
            <w:gridSpan w:val="12"/>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Tabel 6.3.5. ( SETELAH PERUBAHAN RENSTRA )</w:t>
            </w:r>
          </w:p>
        </w:tc>
      </w:tr>
      <w:tr>
        <w:tblPrEx>
          <w:tblCellMar>
            <w:top w:w="0" w:type="dxa"/>
            <w:left w:w="108" w:type="dxa"/>
            <w:bottom w:w="0" w:type="dxa"/>
            <w:right w:w="108" w:type="dxa"/>
          </w:tblCellMar>
        </w:tblPrEx>
        <w:trPr>
          <w:trHeight w:val="330" w:hRule="atLeast"/>
        </w:trPr>
        <w:tc>
          <w:tcPr>
            <w:tcW w:w="16585" w:type="dxa"/>
            <w:gridSpan w:val="12"/>
            <w:tcBorders>
              <w:top w:val="nil"/>
              <w:left w:val="nil"/>
              <w:bottom w:val="nil"/>
              <w:right w:val="nil"/>
            </w:tcBorders>
            <w:shd w:val="clear" w:color="auto" w:fill="auto"/>
            <w:noWrap/>
            <w:vAlign w:val="bottom"/>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DAN KEGIATAN INVESTASI PEMBANGUNAN KABUPATEN KEPULAUAN SELAYAR</w:t>
            </w:r>
          </w:p>
        </w:tc>
      </w:tr>
      <w:tr>
        <w:tblPrEx>
          <w:tblCellMar>
            <w:top w:w="0" w:type="dxa"/>
            <w:left w:w="108" w:type="dxa"/>
            <w:bottom w:w="0" w:type="dxa"/>
            <w:right w:w="108" w:type="dxa"/>
          </w:tblCellMar>
        </w:tblPrEx>
        <w:trPr>
          <w:trHeight w:val="250" w:hRule="atLeast"/>
        </w:trPr>
        <w:tc>
          <w:tcPr>
            <w:tcW w:w="522" w:type="dxa"/>
            <w:vMerge w:val="restart"/>
            <w:tcBorders>
              <w:top w:val="single" w:color="auto" w:sz="8" w:space="0"/>
              <w:left w:val="single" w:color="auto" w:sz="8"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No.</w:t>
            </w:r>
          </w:p>
        </w:tc>
        <w:tc>
          <w:tcPr>
            <w:tcW w:w="3320"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 xml:space="preserve">Program/Kegiatan </w:t>
            </w:r>
          </w:p>
        </w:tc>
        <w:tc>
          <w:tcPr>
            <w:tcW w:w="1037" w:type="dxa"/>
            <w:vMerge w:val="restart"/>
            <w:tcBorders>
              <w:top w:val="single" w:color="auto" w:sz="8" w:space="0"/>
              <w:left w:val="single" w:color="auto" w:sz="4"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Volume</w:t>
            </w:r>
          </w:p>
        </w:tc>
        <w:tc>
          <w:tcPr>
            <w:tcW w:w="3460" w:type="dxa"/>
            <w:gridSpan w:val="5"/>
            <w:tcBorders>
              <w:top w:val="single" w:color="auto" w:sz="8" w:space="0"/>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 xml:space="preserve">Tahun Pelaksanaan </w:t>
            </w:r>
          </w:p>
        </w:tc>
        <w:tc>
          <w:tcPr>
            <w:tcW w:w="1495"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Detail Lokasi</w:t>
            </w:r>
          </w:p>
        </w:tc>
        <w:tc>
          <w:tcPr>
            <w:tcW w:w="1408"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Pagu Anggaran (Rp.)</w:t>
            </w:r>
          </w:p>
        </w:tc>
        <w:tc>
          <w:tcPr>
            <w:tcW w:w="1236" w:type="dxa"/>
            <w:vMerge w:val="restart"/>
            <w:tcBorders>
              <w:top w:val="single" w:color="auto" w:sz="8" w:space="0"/>
              <w:left w:val="single" w:color="auto" w:sz="4" w:space="0"/>
              <w:bottom w:val="single" w:color="auto" w:sz="4" w:space="0"/>
              <w:right w:val="single" w:color="auto" w:sz="4" w:space="0"/>
            </w:tcBorders>
            <w:shd w:val="clear" w:color="000000" w:fill="FFFF00"/>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Sumber Pendanaan</w:t>
            </w:r>
          </w:p>
        </w:tc>
        <w:tc>
          <w:tcPr>
            <w:tcW w:w="4107" w:type="dxa"/>
            <w:vMerge w:val="restart"/>
            <w:tcBorders>
              <w:top w:val="single" w:color="auto" w:sz="8" w:space="0"/>
              <w:left w:val="single" w:color="auto" w:sz="4" w:space="0"/>
              <w:bottom w:val="single" w:color="auto" w:sz="4" w:space="0"/>
              <w:right w:val="single" w:color="auto" w:sz="8"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Keterangan</w:t>
            </w:r>
          </w:p>
        </w:tc>
      </w:tr>
      <w:tr>
        <w:tblPrEx>
          <w:tblCellMar>
            <w:top w:w="0" w:type="dxa"/>
            <w:left w:w="108" w:type="dxa"/>
            <w:bottom w:w="0" w:type="dxa"/>
            <w:right w:w="108" w:type="dxa"/>
          </w:tblCellMar>
        </w:tblPrEx>
        <w:trPr>
          <w:trHeight w:val="315" w:hRule="atLeast"/>
        </w:trPr>
        <w:tc>
          <w:tcPr>
            <w:tcW w:w="522" w:type="dxa"/>
            <w:vMerge w:val="continue"/>
            <w:tcBorders>
              <w:top w:val="single" w:color="auto" w:sz="8" w:space="0"/>
              <w:left w:val="single" w:color="auto" w:sz="8"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3320"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037"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2022</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2023</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2024</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2025</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2026</w:t>
            </w:r>
          </w:p>
        </w:tc>
        <w:tc>
          <w:tcPr>
            <w:tcW w:w="1495"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408"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Calibri"/>
                <w:b/>
                <w:color w:val="000000"/>
                <w:sz w:val="18"/>
                <w:szCs w:val="18"/>
              </w:rPr>
            </w:pPr>
          </w:p>
        </w:tc>
        <w:tc>
          <w:tcPr>
            <w:tcW w:w="4107" w:type="dxa"/>
            <w:vMerge w:val="continue"/>
            <w:tcBorders>
              <w:top w:val="single" w:color="auto" w:sz="8" w:space="0"/>
              <w:left w:val="single" w:color="auto" w:sz="4" w:space="0"/>
              <w:bottom w:val="single" w:color="auto" w:sz="4" w:space="0"/>
              <w:right w:val="single" w:color="auto" w:sz="8" w:space="0"/>
            </w:tcBorders>
            <w:vAlign w:val="center"/>
          </w:tcPr>
          <w:p>
            <w:pPr>
              <w:spacing w:after="0" w:line="240" w:lineRule="auto"/>
              <w:rPr>
                <w:rFonts w:ascii="Bookman Old Style" w:hAnsi="Bookman Old Style" w:eastAsia="Times New Roman" w:cs="Calibri"/>
                <w:b/>
                <w:color w:val="000000"/>
                <w:sz w:val="18"/>
                <w:szCs w:val="18"/>
              </w:rPr>
            </w:pP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w:t>
            </w:r>
          </w:p>
        </w:tc>
        <w:tc>
          <w:tcPr>
            <w:tcW w:w="3320"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(2)</w:t>
            </w:r>
          </w:p>
        </w:tc>
        <w:tc>
          <w:tcPr>
            <w:tcW w:w="1037"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(3)</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(4)</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(5)</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(6)</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(7)</w:t>
            </w:r>
          </w:p>
        </w:tc>
        <w:tc>
          <w:tcPr>
            <w:tcW w:w="692"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(8)</w:t>
            </w:r>
          </w:p>
        </w:tc>
        <w:tc>
          <w:tcPr>
            <w:tcW w:w="1495"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(9)</w:t>
            </w:r>
          </w:p>
        </w:tc>
        <w:tc>
          <w:tcPr>
            <w:tcW w:w="1408"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(10)</w:t>
            </w:r>
          </w:p>
        </w:tc>
        <w:tc>
          <w:tcPr>
            <w:tcW w:w="1236" w:type="dxa"/>
            <w:tcBorders>
              <w:top w:val="nil"/>
              <w:left w:val="nil"/>
              <w:bottom w:val="single" w:color="auto" w:sz="4" w:space="0"/>
              <w:right w:val="single" w:color="auto" w:sz="4"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(11)</w:t>
            </w:r>
          </w:p>
        </w:tc>
        <w:tc>
          <w:tcPr>
            <w:tcW w:w="4107" w:type="dxa"/>
            <w:tcBorders>
              <w:top w:val="nil"/>
              <w:left w:val="nil"/>
              <w:bottom w:val="single" w:color="auto" w:sz="4" w:space="0"/>
              <w:right w:val="single" w:color="auto" w:sz="8" w:space="0"/>
            </w:tcBorders>
            <w:shd w:val="clear" w:color="000000" w:fill="FFFF00"/>
            <w:noWrap/>
            <w:vAlign w:val="center"/>
          </w:tcPr>
          <w:p>
            <w:pPr>
              <w:spacing w:after="0" w:line="240" w:lineRule="auto"/>
              <w:jc w:val="center"/>
              <w:rPr>
                <w:rFonts w:ascii="Bookman Old Style" w:hAnsi="Bookman Old Style" w:eastAsia="Times New Roman" w:cs="Calibri"/>
                <w:b/>
                <w:color w:val="000000"/>
                <w:sz w:val="18"/>
                <w:szCs w:val="18"/>
              </w:rPr>
            </w:pPr>
            <w:r>
              <w:rPr>
                <w:rFonts w:ascii="Bookman Old Style" w:hAnsi="Bookman Old Style" w:eastAsia="Times New Roman" w:cs="Calibri"/>
                <w:b/>
                <w:color w:val="000000"/>
                <w:sz w:val="18"/>
                <w:szCs w:val="18"/>
              </w:rPr>
              <w:t>(12)</w:t>
            </w: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1</w:t>
            </w:r>
          </w:p>
        </w:tc>
        <w:tc>
          <w:tcPr>
            <w:tcW w:w="16063" w:type="dxa"/>
            <w:gridSpan w:val="11"/>
            <w:tcBorders>
              <w:top w:val="single" w:color="auto" w:sz="4" w:space="0"/>
              <w:left w:val="nil"/>
              <w:bottom w:val="single" w:color="auto" w:sz="4" w:space="0"/>
              <w:right w:val="single" w:color="000000" w:sz="8" w:space="0"/>
            </w:tcBorders>
            <w:shd w:val="clear" w:color="auto" w:fill="auto"/>
            <w:noWrap/>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Pemberdayaan Usaha Menengah, Usaha Kecil, dan Usaha Mikro (UMKM)</w:t>
            </w:r>
          </w:p>
        </w:tc>
      </w:tr>
      <w:tr>
        <w:tblPrEx>
          <w:tblCellMar>
            <w:top w:w="0" w:type="dxa"/>
            <w:left w:w="108" w:type="dxa"/>
            <w:bottom w:w="0" w:type="dxa"/>
            <w:right w:w="108" w:type="dxa"/>
          </w:tblCellMar>
        </w:tblPrEx>
        <w:trPr>
          <w:trHeight w:val="1336"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nil"/>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Pemberdayaan Usaha Mikro yang Dilakukan Melalui Pendataan, Kemitraan, Kemudahan Perijinan, Penguatan Kelembagaan dan Koordinasi dengan Para Pemangku Kepentingan</w:t>
            </w:r>
          </w:p>
        </w:tc>
        <w:tc>
          <w:tcPr>
            <w:tcW w:w="1037"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314 pelaku UKM; 1 unit</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692"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Kec. Pasilambena; Kec. Taka Bonerate, Kec. Pasimarannu; Kec. Bontoharu, Kec. Benteng</w:t>
            </w:r>
          </w:p>
        </w:tc>
        <w:tc>
          <w:tcPr>
            <w:tcW w:w="1408" w:type="dxa"/>
            <w:tcBorders>
              <w:top w:val="nil"/>
              <w:left w:val="nil"/>
              <w:bottom w:val="single" w:color="auto" w:sz="4" w:space="0"/>
              <w:right w:val="single" w:color="auto" w:sz="4" w:space="0"/>
            </w:tcBorders>
            <w:shd w:val="clear" w:color="auto" w:fill="auto"/>
            <w:vAlign w:val="center"/>
          </w:tcPr>
          <w:p>
            <w:pPr>
              <w:spacing w:after="0" w:line="240" w:lineRule="auto"/>
              <w:jc w:val="right"/>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700.000.000</w:t>
            </w:r>
          </w:p>
        </w:tc>
        <w:tc>
          <w:tcPr>
            <w:tcW w:w="1236"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Kelengkapan Surat Kesanggupan daerah untuk operasional, Sertifikat tanah dan gambar rencana,Desain Gedung (sksterior dan Interior )sesuai ketetapan, dimana bentuk lar tidak menghilangkan bentuk dan ciri khas dari Gedung PLUT-KUMKM, Surat Penunjukan perangkat daerah yang membiangi Koperasi dan UMKM Kab/Kota sebagai Koordinator pelaksana program PLUT-KUMKM.</w:t>
            </w:r>
          </w:p>
        </w:tc>
      </w:tr>
      <w:tr>
        <w:tblPrEx>
          <w:tblCellMar>
            <w:top w:w="0" w:type="dxa"/>
            <w:left w:w="108" w:type="dxa"/>
            <w:bottom w:w="0" w:type="dxa"/>
            <w:right w:w="108" w:type="dxa"/>
          </w:tblCellMar>
        </w:tblPrEx>
        <w:trPr>
          <w:trHeight w:val="6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Pembuatan Dampok Pisang bagi Pelaku UKM</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Pasilambena</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539"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Pengolahan Ikan bagi Pelaku UKM</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Taka Bonerate</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60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Pengolahan Jambu Mente menjadi Keripik Jambu Mente</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Pasimarannu</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 sertifikat pelatihan</w:t>
            </w:r>
          </w:p>
        </w:tc>
      </w:tr>
      <w:tr>
        <w:tblPrEx>
          <w:tblCellMar>
            <w:top w:w="0" w:type="dxa"/>
            <w:left w:w="108" w:type="dxa"/>
            <w:bottom w:w="0" w:type="dxa"/>
            <w:right w:w="108" w:type="dxa"/>
          </w:tblCellMar>
        </w:tblPrEx>
        <w:trPr>
          <w:trHeight w:val="671"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Pembuatan Buah Aren (Nila) menjadi Kolang - Kaling</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Bontoharu</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Kelenkapan Surat Keterangan Usaha (SKU), dokumen FT,KK,KTP</w:t>
            </w:r>
          </w:p>
        </w:tc>
      </w:tr>
      <w:tr>
        <w:tblPrEx>
          <w:tblCellMar>
            <w:top w:w="0" w:type="dxa"/>
            <w:left w:w="108" w:type="dxa"/>
            <w:bottom w:w="0" w:type="dxa"/>
            <w:right w:w="108" w:type="dxa"/>
          </w:tblCellMar>
        </w:tblPrEx>
        <w:trPr>
          <w:trHeight w:val="459"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Sosialisasi tentang Kebijakan Pemerintah Daerah terhadap Pengembangan KUKM di Kabupaten Kepulauan Selayar</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50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Pelaku Usaha</w:t>
            </w:r>
          </w:p>
        </w:tc>
      </w:tr>
      <w:tr>
        <w:tblPrEx>
          <w:tblCellMar>
            <w:top w:w="0" w:type="dxa"/>
            <w:left w:w="108" w:type="dxa"/>
            <w:bottom w:w="0" w:type="dxa"/>
            <w:right w:w="108" w:type="dxa"/>
          </w:tblCellMar>
        </w:tblPrEx>
        <w:trPr>
          <w:trHeight w:val="459"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Kewirausahaan bagi Sentra UKM</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96 pelaku UKM</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Potensi Produk Unggulan</w:t>
            </w:r>
          </w:p>
        </w:tc>
      </w:tr>
      <w:tr>
        <w:tblPrEx>
          <w:tblCellMar>
            <w:top w:w="0" w:type="dxa"/>
            <w:left w:w="108" w:type="dxa"/>
            <w:bottom w:w="0" w:type="dxa"/>
            <w:right w:w="108" w:type="dxa"/>
          </w:tblCellMar>
        </w:tblPrEx>
        <w:trPr>
          <w:trHeight w:val="459" w:hRule="atLeast"/>
        </w:trPr>
        <w:tc>
          <w:tcPr>
            <w:tcW w:w="52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33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sz w:val="18"/>
                <w:szCs w:val="18"/>
              </w:rPr>
            </w:pPr>
            <w:r>
              <w:rPr>
                <w:rFonts w:ascii="Bookman Old Style" w:hAnsi="Bookman Old Style" w:eastAsia="Times New Roman" w:cs="Calibri"/>
                <w:sz w:val="18"/>
                <w:szCs w:val="18"/>
              </w:rPr>
              <w:t>Pelatihan Peningkatan SDM bagi Sentra UKM dengan Tema Bermuatan Lokal Berdaya Saing Global</w:t>
            </w:r>
          </w:p>
        </w:tc>
        <w:tc>
          <w:tcPr>
            <w:tcW w:w="1037"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48 pelaku UKM</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Kec. Benteng</w:t>
            </w:r>
          </w:p>
        </w:tc>
        <w:tc>
          <w:tcPr>
            <w:tcW w:w="1408"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single" w:color="auto" w:sz="4" w:space="0"/>
              <w:left w:val="nil"/>
              <w:bottom w:val="single" w:color="auto" w:sz="4" w:space="0"/>
              <w:right w:val="single" w:color="auto" w:sz="8" w:space="0"/>
            </w:tcBorders>
            <w:shd w:val="clear" w:color="auto" w:fill="auto"/>
            <w:noWrap/>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Data Potensi Produk Unggulan</w:t>
            </w:r>
          </w:p>
        </w:tc>
      </w:tr>
      <w:tr>
        <w:tblPrEx>
          <w:tblCellMar>
            <w:top w:w="0" w:type="dxa"/>
            <w:left w:w="108" w:type="dxa"/>
            <w:bottom w:w="0" w:type="dxa"/>
            <w:right w:w="108" w:type="dxa"/>
          </w:tblCellMar>
        </w:tblPrEx>
        <w:trPr>
          <w:trHeight w:val="31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16063" w:type="dxa"/>
            <w:gridSpan w:val="11"/>
            <w:tcBorders>
              <w:top w:val="single" w:color="auto" w:sz="4" w:space="0"/>
              <w:left w:val="nil"/>
              <w:bottom w:val="single" w:color="auto" w:sz="4" w:space="0"/>
              <w:right w:val="single" w:color="000000"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Pemberdayaan dan Perlindungan Koperasi</w:t>
            </w:r>
          </w:p>
        </w:tc>
      </w:tr>
      <w:tr>
        <w:tblPrEx>
          <w:tblCellMar>
            <w:top w:w="0" w:type="dxa"/>
            <w:left w:w="108" w:type="dxa"/>
            <w:bottom w:w="0" w:type="dxa"/>
            <w:right w:w="108" w:type="dxa"/>
          </w:tblCellMar>
        </w:tblPrEx>
        <w:trPr>
          <w:trHeight w:val="1118"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Pemberdayaan dan Perlindungan Koperasi yang Keanggotaannya Dalam Daerah Kabupaten/Kota</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5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Surat Mandat Koperasi</w:t>
            </w:r>
          </w:p>
        </w:tc>
      </w:tr>
      <w:tr>
        <w:tblPrEx>
          <w:tblCellMar>
            <w:top w:w="0" w:type="dxa"/>
            <w:left w:w="108" w:type="dxa"/>
            <w:bottom w:w="0" w:type="dxa"/>
            <w:right w:w="108" w:type="dxa"/>
          </w:tblCellMar>
        </w:tblPrEx>
        <w:trPr>
          <w:trHeight w:val="553"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Revitalisasi dan Aktivasi Koperasi dalam Rangka Mendukung Gerbang Sari</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5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5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Data Kelembagaan Koperasi</w:t>
            </w:r>
          </w:p>
        </w:tc>
      </w:tr>
      <w:tr>
        <w:tblPrEx>
          <w:tblCellMar>
            <w:top w:w="0" w:type="dxa"/>
            <w:left w:w="108" w:type="dxa"/>
            <w:bottom w:w="0" w:type="dxa"/>
            <w:right w:w="108" w:type="dxa"/>
          </w:tblCellMar>
        </w:tblPrEx>
        <w:trPr>
          <w:trHeight w:val="37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16063" w:type="dxa"/>
            <w:gridSpan w:val="11"/>
            <w:tcBorders>
              <w:top w:val="single" w:color="auto" w:sz="4" w:space="0"/>
              <w:left w:val="nil"/>
              <w:bottom w:val="single" w:color="auto" w:sz="4" w:space="0"/>
              <w:right w:val="single" w:color="000000" w:sz="8"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Program Pendidikan dan Latihan Perkoperasian</w:t>
            </w:r>
          </w:p>
        </w:tc>
      </w:tr>
      <w:tr>
        <w:tblPrEx>
          <w:tblCellMar>
            <w:top w:w="0" w:type="dxa"/>
            <w:left w:w="108" w:type="dxa"/>
            <w:bottom w:w="0" w:type="dxa"/>
            <w:right w:w="108" w:type="dxa"/>
          </w:tblCellMar>
        </w:tblPrEx>
        <w:trPr>
          <w:trHeight w:val="936"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Pendidikan dan Latihan Perkoperasian Bagi Koperasi yang Wilayah Keanggotaan Dalam Daerah Kabupaten/Kota</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90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9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300.000.000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b/>
                <w:bCs/>
                <w:sz w:val="18"/>
                <w:szCs w:val="18"/>
              </w:rPr>
            </w:pPr>
            <w:r>
              <w:rPr>
                <w:rFonts w:ascii="Bookman Old Style" w:hAnsi="Bookman Old Style" w:eastAsia="Times New Roman" w:cs="Calibri"/>
                <w:b/>
                <w:bCs/>
                <w:sz w:val="18"/>
                <w:szCs w:val="18"/>
              </w:rPr>
              <w:t>DAK</w:t>
            </w:r>
          </w:p>
        </w:tc>
        <w:tc>
          <w:tcPr>
            <w:tcW w:w="4107" w:type="dxa"/>
            <w:tcBorders>
              <w:top w:val="nil"/>
              <w:left w:val="nil"/>
              <w:bottom w:val="single" w:color="auto" w:sz="4" w:space="0"/>
              <w:right w:val="single" w:color="auto" w:sz="8" w:space="0"/>
            </w:tcBorders>
            <w:shd w:val="clear" w:color="auto" w:fill="auto"/>
          </w:tcPr>
          <w:p>
            <w:pPr>
              <w:spacing w:after="0" w:line="240" w:lineRule="auto"/>
              <w:rPr>
                <w:rFonts w:ascii="Bookman Old Style" w:hAnsi="Bookman Old Style" w:eastAsia="Times New Roman" w:cs="Calibri"/>
                <w:b/>
                <w:bCs/>
                <w:color w:val="000000"/>
                <w:sz w:val="18"/>
                <w:szCs w:val="18"/>
              </w:rPr>
            </w:pPr>
            <w:r>
              <w:rPr>
                <w:rFonts w:ascii="Bookman Old Style" w:hAnsi="Bookman Old Style" w:eastAsia="Times New Roman" w:cs="Calibri"/>
                <w:b/>
                <w:bCs/>
                <w:color w:val="000000"/>
                <w:sz w:val="18"/>
                <w:szCs w:val="18"/>
              </w:rPr>
              <w:t>Kelengkapan Surat mandat dari Koperasi</w:t>
            </w:r>
          </w:p>
        </w:tc>
      </w:tr>
      <w:tr>
        <w:tblPrEx>
          <w:tblCellMar>
            <w:top w:w="0" w:type="dxa"/>
            <w:left w:w="108" w:type="dxa"/>
            <w:bottom w:w="0" w:type="dxa"/>
            <w:right w:w="108" w:type="dxa"/>
          </w:tblCellMar>
        </w:tblPrEx>
        <w:trPr>
          <w:trHeight w:val="69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Akuntansi Dasar dan Tingkat Lanjutan</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Pengurus Koperasi</w:t>
            </w:r>
          </w:p>
        </w:tc>
      </w:tr>
      <w:tr>
        <w:tblPrEx>
          <w:tblCellMar>
            <w:top w:w="0" w:type="dxa"/>
            <w:left w:w="108" w:type="dxa"/>
            <w:bottom w:w="0" w:type="dxa"/>
            <w:right w:w="108" w:type="dxa"/>
          </w:tblCellMar>
        </w:tblPrEx>
        <w:trPr>
          <w:trHeight w:val="705" w:hRule="atLeast"/>
        </w:trPr>
        <w:tc>
          <w:tcPr>
            <w:tcW w:w="522" w:type="dxa"/>
            <w:tcBorders>
              <w:top w:val="nil"/>
              <w:left w:val="single" w:color="auto" w:sz="8" w:space="0"/>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4"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Manajemen Koperasi bagi Pengurus Koperasi USP dan KSP</w:t>
            </w:r>
          </w:p>
        </w:tc>
        <w:tc>
          <w:tcPr>
            <w:tcW w:w="103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(Daratan dan Kepulauan)</w:t>
            </w:r>
          </w:p>
        </w:tc>
        <w:tc>
          <w:tcPr>
            <w:tcW w:w="14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4" w:space="0"/>
              <w:right w:val="single" w:color="auto" w:sz="8" w:space="0"/>
            </w:tcBorders>
            <w:shd w:val="clear" w:color="auto" w:fill="auto"/>
            <w:noWrap/>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Pengurus Koperasi</w:t>
            </w:r>
          </w:p>
        </w:tc>
      </w:tr>
      <w:tr>
        <w:tblPrEx>
          <w:tblCellMar>
            <w:top w:w="0" w:type="dxa"/>
            <w:left w:w="108" w:type="dxa"/>
            <w:bottom w:w="0" w:type="dxa"/>
            <w:right w:w="108" w:type="dxa"/>
          </w:tblCellMar>
        </w:tblPrEx>
        <w:trPr>
          <w:trHeight w:val="559" w:hRule="atLeast"/>
        </w:trPr>
        <w:tc>
          <w:tcPr>
            <w:tcW w:w="522" w:type="dxa"/>
            <w:tcBorders>
              <w:top w:val="nil"/>
              <w:left w:val="single" w:color="auto" w:sz="8" w:space="0"/>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 </w:t>
            </w:r>
          </w:p>
        </w:tc>
        <w:tc>
          <w:tcPr>
            <w:tcW w:w="3320" w:type="dxa"/>
            <w:tcBorders>
              <w:top w:val="nil"/>
              <w:left w:val="nil"/>
              <w:bottom w:val="single" w:color="auto" w:sz="8" w:space="0"/>
              <w:right w:val="single" w:color="auto" w:sz="4" w:space="0"/>
            </w:tcBorders>
            <w:shd w:val="clear" w:color="auto" w:fill="auto"/>
            <w:vAlign w:val="center"/>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Pelatihan Perkoperasian Syariah Tingkat Dasar</w:t>
            </w:r>
          </w:p>
        </w:tc>
        <w:tc>
          <w:tcPr>
            <w:tcW w:w="1037"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30 Koperasi</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692"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 </w:t>
            </w:r>
          </w:p>
        </w:tc>
        <w:tc>
          <w:tcPr>
            <w:tcW w:w="1495"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3 Kecamatan (Daratan dan Kepulauan)</w:t>
            </w:r>
          </w:p>
        </w:tc>
        <w:tc>
          <w:tcPr>
            <w:tcW w:w="1408"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100.000.000</w:t>
            </w:r>
          </w:p>
        </w:tc>
        <w:tc>
          <w:tcPr>
            <w:tcW w:w="1236" w:type="dxa"/>
            <w:tcBorders>
              <w:top w:val="nil"/>
              <w:left w:val="nil"/>
              <w:bottom w:val="single" w:color="auto" w:sz="8" w:space="0"/>
              <w:right w:val="single" w:color="auto" w:sz="4" w:space="0"/>
            </w:tcBorders>
            <w:shd w:val="clear" w:color="auto" w:fill="auto"/>
            <w:noWrap/>
            <w:vAlign w:val="center"/>
          </w:tcPr>
          <w:p>
            <w:pPr>
              <w:spacing w:after="0" w:line="240" w:lineRule="auto"/>
              <w:jc w:val="center"/>
              <w:rPr>
                <w:rFonts w:ascii="Bookman Old Style" w:hAnsi="Bookman Old Style" w:eastAsia="Times New Roman" w:cs="Calibri"/>
                <w:sz w:val="18"/>
                <w:szCs w:val="18"/>
              </w:rPr>
            </w:pPr>
            <w:r>
              <w:rPr>
                <w:rFonts w:ascii="Bookman Old Style" w:hAnsi="Bookman Old Style" w:eastAsia="Times New Roman" w:cs="Calibri"/>
                <w:sz w:val="18"/>
                <w:szCs w:val="18"/>
              </w:rPr>
              <w:t>DAK</w:t>
            </w:r>
          </w:p>
        </w:tc>
        <w:tc>
          <w:tcPr>
            <w:tcW w:w="4107" w:type="dxa"/>
            <w:tcBorders>
              <w:top w:val="nil"/>
              <w:left w:val="nil"/>
              <w:bottom w:val="single" w:color="auto" w:sz="8" w:space="0"/>
              <w:right w:val="single" w:color="auto" w:sz="8" w:space="0"/>
            </w:tcBorders>
            <w:shd w:val="clear" w:color="auto" w:fill="auto"/>
          </w:tcPr>
          <w:p>
            <w:pPr>
              <w:spacing w:after="0" w:line="240" w:lineRule="auto"/>
              <w:rPr>
                <w:rFonts w:ascii="Bookman Old Style" w:hAnsi="Bookman Old Style" w:eastAsia="Times New Roman" w:cs="Calibri"/>
                <w:color w:val="000000"/>
                <w:sz w:val="18"/>
                <w:szCs w:val="18"/>
              </w:rPr>
            </w:pPr>
            <w:r>
              <w:rPr>
                <w:rFonts w:ascii="Bookman Old Style" w:hAnsi="Bookman Old Style" w:eastAsia="Times New Roman" w:cs="Calibri"/>
                <w:color w:val="000000"/>
                <w:sz w:val="18"/>
                <w:szCs w:val="18"/>
              </w:rPr>
              <w:t>Rekomendasi dari Kementerian Departemen Agama</w:t>
            </w:r>
          </w:p>
        </w:tc>
      </w:tr>
    </w:tbl>
    <w:p>
      <w:pPr>
        <w:tabs>
          <w:tab w:val="left" w:pos="1134"/>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sectPr>
          <w:pgSz w:w="20160" w:h="12240" w:orient="landscape"/>
          <w:pgMar w:top="1134" w:right="2268" w:bottom="1701" w:left="1134" w:header="720" w:footer="2268" w:gutter="0"/>
          <w:cols w:space="720" w:num="1"/>
          <w:docGrid w:linePitch="326" w:charSpace="0"/>
        </w:sectPr>
      </w:pP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VII</w:t>
      </w:r>
    </w:p>
    <w:p>
      <w:pPr>
        <w:tabs>
          <w:tab w:val="left" w:pos="1134"/>
          <w:tab w:val="left" w:pos="1701"/>
        </w:tabs>
        <w:autoSpaceDE w:val="0"/>
        <w:autoSpaceDN w:val="0"/>
        <w:adjustRightInd w:val="0"/>
        <w:spacing w:after="0" w:line="360" w:lineRule="auto"/>
        <w:jc w:val="center"/>
        <w:rPr>
          <w:rFonts w:ascii="Bookman Old Style" w:hAnsi="Bookman Old Style" w:eastAsia="Times New Roman" w:cs="Tahoma"/>
          <w:i/>
          <w:color w:val="000000" w:themeColor="text1"/>
          <w:sz w:val="24"/>
          <w:szCs w:val="24"/>
          <w:lang w:eastAsia="id-ID"/>
          <w14:textFill>
            <w14:solidFill>
              <w14:schemeClr w14:val="tx1"/>
            </w14:solidFill>
          </w14:textFill>
        </w:rPr>
      </w:pPr>
      <w:r>
        <w:rPr>
          <w:rFonts w:ascii="Bookman Old Style" w:hAnsi="Bookman Old Style" w:eastAsia="Times New Roman" w:cs="Tahoma"/>
          <w:b/>
          <w:color w:val="000000" w:themeColor="text1"/>
          <w:sz w:val="24"/>
          <w:szCs w:val="24"/>
          <w:lang w:eastAsia="id-ID"/>
          <w14:textFill>
            <w14:solidFill>
              <w14:schemeClr w14:val="tx1"/>
            </w14:solidFill>
          </w14:textFill>
        </w:rPr>
        <w:t>KINERJA PENYELENGGARAAN BIDANG URUSAN</w:t>
      </w:r>
    </w:p>
    <w:p>
      <w:pPr>
        <w:tabs>
          <w:tab w:val="left" w:pos="1418"/>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p>
    <w:p>
      <w:pPr>
        <w:tabs>
          <w:tab w:val="left" w:pos="1418"/>
          <w:tab w:val="left" w:pos="1701"/>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Berdasarkan RPJMD Dinas Perdagangan, Koperasi dan UKM Kabupaten Kepulauan Selayar Tahun 2021 – 2026, kinerja penyelenggaraan bidang layanan urusan wajib yakni Koperasi Usaha Kecil dan Menengah dan layanan urusan pilihan yakni Perdagangan.</w:t>
      </w:r>
    </w:p>
    <w:p>
      <w:pPr>
        <w:tabs>
          <w:tab w:val="left" w:pos="1418"/>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Berdasarkan RPJMD diatas, maka indikator kinerja OPD yang mengacu pada tujuan dan sasaran RPJMD merupakan aktualisasi penyelenggaraan/pelaksanaan program prioritas maupun program penunjang yang diamanatkan kepada OPD melalui kegiatan pokok yang relevan dengan tugas dan fungsi OPD dalam kerangka menggapai tujuan dan sasaran RPJMD. </w:t>
      </w:r>
    </w:p>
    <w:p>
      <w:pPr>
        <w:tabs>
          <w:tab w:val="left" w:pos="1134"/>
          <w:tab w:val="left" w:pos="1418"/>
        </w:tabs>
        <w:autoSpaceDE w:val="0"/>
        <w:autoSpaceDN w:val="0"/>
        <w:adjustRightInd w:val="0"/>
        <w:spacing w:after="0" w:line="360" w:lineRule="auto"/>
        <w:jc w:val="both"/>
        <w:rPr>
          <w:rFonts w:ascii="Bookman Old Style" w:hAnsi="Bookman Old Style" w:eastAsia="Times New Roman" w:cs="Tahoma"/>
          <w:bCs/>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bCs/>
          <w:color w:val="000000" w:themeColor="text1"/>
          <w:sz w:val="24"/>
          <w:szCs w:val="24"/>
          <w:lang w:eastAsia="id-ID"/>
          <w14:textFill>
            <w14:solidFill>
              <w14:schemeClr w14:val="tx1"/>
            </w14:solidFill>
          </w14:textFill>
        </w:rPr>
        <w:t>Untuk lebih jelasnya tentang layanan penyelenggaraan urusan pada Dinas Perdadangan, Koperasi dan Usaha Kecil dan Menengah dapat dilihat pada tabel 7.1 dan tabel 7.2 sebagai berikut :</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Tabel7.1</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Indikator Kinerja Perangkat Daerah yang mengacu pada tujuan dan sasaran RPJMD</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p>
    <w:tbl>
      <w:tblPr>
        <w:tblStyle w:val="4"/>
        <w:tblW w:w="9893" w:type="dxa"/>
        <w:tblInd w:w="-176" w:type="dxa"/>
        <w:tblLayout w:type="autofit"/>
        <w:tblCellMar>
          <w:top w:w="0" w:type="dxa"/>
          <w:left w:w="108" w:type="dxa"/>
          <w:bottom w:w="0" w:type="dxa"/>
          <w:right w:w="108" w:type="dxa"/>
        </w:tblCellMar>
      </w:tblPr>
      <w:tblGrid>
        <w:gridCol w:w="554"/>
        <w:gridCol w:w="318"/>
        <w:gridCol w:w="1769"/>
        <w:gridCol w:w="1159"/>
        <w:gridCol w:w="936"/>
        <w:gridCol w:w="920"/>
        <w:gridCol w:w="920"/>
        <w:gridCol w:w="965"/>
        <w:gridCol w:w="1059"/>
        <w:gridCol w:w="1293"/>
      </w:tblGrid>
      <w:tr>
        <w:tblPrEx>
          <w:tblCellMar>
            <w:top w:w="0" w:type="dxa"/>
            <w:left w:w="108" w:type="dxa"/>
            <w:bottom w:w="0" w:type="dxa"/>
            <w:right w:w="108" w:type="dxa"/>
          </w:tblCellMar>
        </w:tblPrEx>
        <w:trPr>
          <w:trHeight w:val="241" w:hRule="atLeast"/>
        </w:trPr>
        <w:tc>
          <w:tcPr>
            <w:tcW w:w="554" w:type="dxa"/>
            <w:vMerge w:val="restart"/>
            <w:tcBorders>
              <w:top w:val="double" w:color="auto" w:sz="6" w:space="0"/>
              <w:left w:val="double" w:color="auto" w:sz="6" w:space="0"/>
              <w:bottom w:val="single" w:color="000000" w:sz="4" w:space="0"/>
              <w:right w:val="nil"/>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No</w:t>
            </w:r>
          </w:p>
        </w:tc>
        <w:tc>
          <w:tcPr>
            <w:tcW w:w="2087" w:type="dxa"/>
            <w:gridSpan w:val="2"/>
            <w:vMerge w:val="restart"/>
            <w:tcBorders>
              <w:top w:val="double" w:color="auto" w:sz="6"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Indikator </w:t>
            </w:r>
          </w:p>
        </w:tc>
        <w:tc>
          <w:tcPr>
            <w:tcW w:w="1159" w:type="dxa"/>
            <w:vMerge w:val="restart"/>
            <w:tcBorders>
              <w:top w:val="double" w:color="auto" w:sz="6" w:space="0"/>
              <w:left w:val="single" w:color="auto" w:sz="4" w:space="0"/>
              <w:bottom w:val="single" w:color="000000"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Kondisi Kinerja pada awal Periode Renstra 2020</w:t>
            </w:r>
          </w:p>
        </w:tc>
        <w:tc>
          <w:tcPr>
            <w:tcW w:w="4800" w:type="dxa"/>
            <w:gridSpan w:val="5"/>
            <w:tcBorders>
              <w:top w:val="double" w:color="auto" w:sz="6" w:space="0"/>
              <w:left w:val="nil"/>
              <w:bottom w:val="single" w:color="auto" w:sz="4" w:space="0"/>
              <w:right w:val="nil"/>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Target Kinerja pada Tahun ke-</w:t>
            </w:r>
          </w:p>
        </w:tc>
        <w:tc>
          <w:tcPr>
            <w:tcW w:w="1293" w:type="dxa"/>
            <w:vMerge w:val="restart"/>
            <w:tcBorders>
              <w:top w:val="double" w:color="auto" w:sz="6" w:space="0"/>
              <w:left w:val="single" w:color="auto" w:sz="4" w:space="0"/>
              <w:bottom w:val="single" w:color="000000" w:sz="4" w:space="0"/>
              <w:right w:val="double" w:color="auto" w:sz="6"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 xml:space="preserve">Kondisi Kinerja pada akhir Periode Renstra </w:t>
            </w:r>
          </w:p>
        </w:tc>
      </w:tr>
      <w:tr>
        <w:tblPrEx>
          <w:tblCellMar>
            <w:top w:w="0" w:type="dxa"/>
            <w:left w:w="108" w:type="dxa"/>
            <w:bottom w:w="0" w:type="dxa"/>
            <w:right w:w="108" w:type="dxa"/>
          </w:tblCellMar>
        </w:tblPrEx>
        <w:trPr>
          <w:trHeight w:val="421" w:hRule="atLeast"/>
        </w:trPr>
        <w:tc>
          <w:tcPr>
            <w:tcW w:w="554" w:type="dxa"/>
            <w:vMerge w:val="continue"/>
            <w:tcBorders>
              <w:top w:val="double" w:color="auto" w:sz="6" w:space="0"/>
              <w:left w:val="double" w:color="auto" w:sz="6" w:space="0"/>
              <w:bottom w:val="single" w:color="000000" w:sz="4" w:space="0"/>
              <w:right w:val="nil"/>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2087" w:type="dxa"/>
            <w:gridSpan w:val="2"/>
            <w:vMerge w:val="continue"/>
            <w:tcBorders>
              <w:top w:val="double" w:color="auto" w:sz="6"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1159" w:type="dxa"/>
            <w:vMerge w:val="continue"/>
            <w:tcBorders>
              <w:top w:val="double" w:color="auto" w:sz="6" w:space="0"/>
              <w:left w:val="single" w:color="auto" w:sz="4" w:space="0"/>
              <w:bottom w:val="single" w:color="000000" w:sz="4" w:space="0"/>
              <w:right w:val="single" w:color="auto" w:sz="4"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c>
          <w:tcPr>
            <w:tcW w:w="936"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2022</w:t>
            </w:r>
          </w:p>
        </w:tc>
        <w:tc>
          <w:tcPr>
            <w:tcW w:w="9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2023</w:t>
            </w:r>
          </w:p>
        </w:tc>
        <w:tc>
          <w:tcPr>
            <w:tcW w:w="92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2024</w:t>
            </w:r>
          </w:p>
        </w:tc>
        <w:tc>
          <w:tcPr>
            <w:tcW w:w="965"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2025</w:t>
            </w:r>
          </w:p>
        </w:tc>
        <w:tc>
          <w:tcPr>
            <w:tcW w:w="105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2026</w:t>
            </w:r>
          </w:p>
        </w:tc>
        <w:tc>
          <w:tcPr>
            <w:tcW w:w="1293" w:type="dxa"/>
            <w:vMerge w:val="continue"/>
            <w:tcBorders>
              <w:top w:val="double" w:color="auto" w:sz="6" w:space="0"/>
              <w:left w:val="single" w:color="auto" w:sz="4" w:space="0"/>
              <w:bottom w:val="single" w:color="000000" w:sz="4" w:space="0"/>
              <w:right w:val="double" w:color="auto" w:sz="6" w:space="0"/>
            </w:tcBorders>
            <w:vAlign w:val="center"/>
          </w:tcPr>
          <w:p>
            <w:pPr>
              <w:spacing w:after="0" w:line="240" w:lineRule="auto"/>
              <w:rPr>
                <w:rFonts w:ascii="Bookman Old Style" w:hAnsi="Bookman Old Style" w:eastAsia="Times New Roman" w:cs="Tahoma"/>
                <w:b/>
                <w:bCs/>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241" w:hRule="atLeast"/>
        </w:trPr>
        <w:tc>
          <w:tcPr>
            <w:tcW w:w="554" w:type="dxa"/>
            <w:tcBorders>
              <w:top w:val="nil"/>
              <w:left w:val="double" w:color="auto" w:sz="6" w:space="0"/>
              <w:bottom w:val="nil"/>
              <w:right w:val="nil"/>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1</w:t>
            </w:r>
          </w:p>
        </w:tc>
        <w:tc>
          <w:tcPr>
            <w:tcW w:w="2087" w:type="dxa"/>
            <w:gridSpan w:val="2"/>
            <w:tcBorders>
              <w:top w:val="single" w:color="auto" w:sz="4" w:space="0"/>
              <w:left w:val="single" w:color="auto" w:sz="4" w:space="0"/>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2</w:t>
            </w:r>
          </w:p>
        </w:tc>
        <w:tc>
          <w:tcPr>
            <w:tcW w:w="115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3</w:t>
            </w:r>
          </w:p>
        </w:tc>
        <w:tc>
          <w:tcPr>
            <w:tcW w:w="936"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4</w:t>
            </w:r>
          </w:p>
        </w:tc>
        <w:tc>
          <w:tcPr>
            <w:tcW w:w="920"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5</w:t>
            </w:r>
          </w:p>
        </w:tc>
        <w:tc>
          <w:tcPr>
            <w:tcW w:w="920"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6</w:t>
            </w:r>
          </w:p>
        </w:tc>
        <w:tc>
          <w:tcPr>
            <w:tcW w:w="965"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7</w:t>
            </w:r>
          </w:p>
        </w:tc>
        <w:tc>
          <w:tcPr>
            <w:tcW w:w="1059" w:type="dxa"/>
            <w:tcBorders>
              <w:top w:val="single" w:color="auto" w:sz="4" w:space="0"/>
              <w:left w:val="nil"/>
              <w:bottom w:val="double" w:color="auto" w:sz="6" w:space="0"/>
              <w:right w:val="single" w:color="auto" w:sz="4"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8</w:t>
            </w:r>
          </w:p>
        </w:tc>
        <w:tc>
          <w:tcPr>
            <w:tcW w:w="1293" w:type="dxa"/>
            <w:tcBorders>
              <w:top w:val="nil"/>
              <w:left w:val="nil"/>
              <w:bottom w:val="double" w:color="auto" w:sz="6" w:space="0"/>
              <w:right w:val="double" w:color="auto" w:sz="6" w:space="0"/>
            </w:tcBorders>
            <w:shd w:val="clear" w:color="000000" w:fill="D8E4BC"/>
            <w:noWrap/>
            <w:vAlign w:val="center"/>
          </w:tcPr>
          <w:p>
            <w:pPr>
              <w:spacing w:after="0" w:line="240" w:lineRule="auto"/>
              <w:jc w:val="center"/>
              <w:rPr>
                <w:rFonts w:ascii="Bookman Old Style" w:hAnsi="Bookman Old Style" w:eastAsia="Times New Roman" w:cs="Tahoma"/>
                <w:b/>
                <w:bCs/>
                <w:color w:val="000000" w:themeColor="text1"/>
                <w:sz w:val="20"/>
                <w:szCs w:val="20"/>
                <w14:textFill>
                  <w14:solidFill>
                    <w14:schemeClr w14:val="tx1"/>
                  </w14:solidFill>
                </w14:textFill>
              </w:rPr>
            </w:pPr>
            <w:r>
              <w:rPr>
                <w:rFonts w:ascii="Bookman Old Style" w:hAnsi="Bookman Old Style" w:eastAsia="Times New Roman" w:cs="Tahoma"/>
                <w:b/>
                <w:bCs/>
                <w:color w:val="000000" w:themeColor="text1"/>
                <w:sz w:val="20"/>
                <w:szCs w:val="20"/>
                <w14:textFill>
                  <w14:solidFill>
                    <w14:schemeClr w14:val="tx1"/>
                  </w14:solidFill>
                </w14:textFill>
              </w:rPr>
              <w:t>9</w:t>
            </w:r>
          </w:p>
        </w:tc>
      </w:tr>
      <w:tr>
        <w:tblPrEx>
          <w:tblCellMar>
            <w:top w:w="0" w:type="dxa"/>
            <w:left w:w="108" w:type="dxa"/>
            <w:bottom w:w="0" w:type="dxa"/>
            <w:right w:w="108" w:type="dxa"/>
          </w:tblCellMar>
        </w:tblPrEx>
        <w:trPr>
          <w:trHeight w:val="451" w:hRule="atLeast"/>
        </w:trPr>
        <w:tc>
          <w:tcPr>
            <w:tcW w:w="554" w:type="dxa"/>
            <w:vMerge w:val="restart"/>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koperasi yang mendapatkan izin usaha simpan pinjam</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Koperasi Sehat</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Koperasi KSP/USP yang sehat</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376" w:hRule="atLeast"/>
        </w:trPr>
        <w:tc>
          <w:tcPr>
            <w:tcW w:w="55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single" w:color="auto" w:sz="4" w:space="0"/>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pengurus koperasi yang mendapatkan pendidikan keterampilan</w:t>
            </w:r>
          </w:p>
        </w:tc>
        <w:tc>
          <w:tcPr>
            <w:tcW w:w="1159"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nil"/>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768" w:hRule="atLeast"/>
        </w:trPr>
        <w:tc>
          <w:tcPr>
            <w:tcW w:w="554" w:type="dxa"/>
            <w:tcBorders>
              <w:top w:val="nil"/>
              <w:left w:val="single" w:color="auto" w:sz="4" w:space="0"/>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w:t>
            </w:r>
          </w:p>
        </w:tc>
        <w:tc>
          <w:tcPr>
            <w:tcW w:w="318"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koperasi yang diberdayakan dan mendapatkan perlindungan</w:t>
            </w:r>
          </w:p>
        </w:tc>
        <w:tc>
          <w:tcPr>
            <w:tcW w:w="1159"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single" w:color="auto" w:sz="4" w:space="0"/>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w:t>
            </w:r>
          </w:p>
        </w:tc>
        <w:tc>
          <w:tcPr>
            <w:tcW w:w="318"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UMKM yang diberdayakan</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 </w:t>
            </w:r>
          </w:p>
        </w:tc>
        <w:tc>
          <w:tcPr>
            <w:tcW w:w="318"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UMKM yang ditingkatkan kapasitasnya</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Times New Roman" w:hAnsi="Times New Roman" w:eastAsia="Times New Roman" w:cs="Times New Roman"/>
                <w:sz w:val="24"/>
                <w:szCs w:val="20"/>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noWrap/>
          </w:tcPr>
          <w:p>
            <w:pPr>
              <w:spacing w:after="0" w:line="240" w:lineRule="auto"/>
              <w:rPr>
                <w:rFonts w:ascii="Times New Roman" w:hAnsi="Times New Roman" w:eastAsia="Times New Roman" w:cs="Times New Roman"/>
                <w:sz w:val="24"/>
                <w:szCs w:val="20"/>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rPr>
                <w:rFonts w:ascii="Times New Roman" w:hAnsi="Times New Roman" w:eastAsia="Times New Roman" w:cs="Times New Roman"/>
                <w:sz w:val="24"/>
                <w:szCs w:val="20"/>
              </w:rPr>
            </w:pPr>
            <w:r>
              <w:rPr>
                <w:rFonts w:ascii="Times New Roman" w:hAnsi="Times New Roman" w:eastAsia="Times New Roman" w:cs="Times New Roman"/>
                <w:sz w:val="24"/>
                <w:szCs w:val="20"/>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bottom w:val="nil"/>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Izin Usaha Sektor Perdagangan yang diterbitkan.</w:t>
            </w:r>
          </w:p>
        </w:tc>
        <w:tc>
          <w:tcPr>
            <w:tcW w:w="1159"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nil"/>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bottom w:val="nil"/>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Ketersediaan sarana prasarana perdagangan</w:t>
            </w:r>
          </w:p>
        </w:tc>
        <w:tc>
          <w:tcPr>
            <w:tcW w:w="1159"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nil"/>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bottom w:val="nil"/>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jenis komoditi yang dipantau</w:t>
            </w:r>
          </w:p>
        </w:tc>
        <w:tc>
          <w:tcPr>
            <w:tcW w:w="1159"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nil"/>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bottom w:val="nil"/>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Persentase peningkatan jumlah komoditi ekspor</w:t>
            </w:r>
          </w:p>
        </w:tc>
        <w:tc>
          <w:tcPr>
            <w:tcW w:w="1159" w:type="dxa"/>
            <w:tcBorders>
              <w:top w:val="nil"/>
              <w:left w:val="single" w:color="auto" w:sz="4" w:space="0"/>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nil"/>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451" w:hRule="atLeast"/>
        </w:trPr>
        <w:tc>
          <w:tcPr>
            <w:tcW w:w="554" w:type="dxa"/>
            <w:tcBorders>
              <w:top w:val="nil"/>
              <w:left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20"/>
                <w14:textFill>
                  <w14:solidFill>
                    <w14:schemeClr w14:val="tx1"/>
                  </w14:solidFill>
                </w14:textFill>
              </w:rPr>
            </w:pPr>
            <w:r>
              <w:rPr>
                <w:rFonts w:ascii="Bookman Old Style" w:hAnsi="Bookman Old Style" w:eastAsia="Times New Roman" w:cs="Tahoma"/>
                <w:color w:val="000000" w:themeColor="text1"/>
                <w:sz w:val="18"/>
                <w:szCs w:val="20"/>
                <w14:textFill>
                  <w14:solidFill>
                    <w14:schemeClr w14:val="tx1"/>
                  </w14:solidFill>
                </w14:textFill>
              </w:rPr>
              <w:t>Persentase alat ukur yang ditera</w:t>
            </w:r>
          </w:p>
        </w:tc>
        <w:tc>
          <w:tcPr>
            <w:tcW w:w="1159" w:type="dxa"/>
            <w:tcBorders>
              <w:top w:val="nil"/>
              <w:left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r>
      <w:tr>
        <w:tblPrEx>
          <w:tblCellMar>
            <w:top w:w="0" w:type="dxa"/>
            <w:left w:w="108" w:type="dxa"/>
            <w:bottom w:w="0" w:type="dxa"/>
            <w:right w:w="108" w:type="dxa"/>
          </w:tblCellMar>
        </w:tblPrEx>
        <w:trPr>
          <w:trHeight w:val="1004" w:hRule="atLeast"/>
        </w:trPr>
        <w:tc>
          <w:tcPr>
            <w:tcW w:w="554" w:type="dxa"/>
            <w:tcBorders>
              <w:top w:val="nil"/>
              <w:left w:val="single" w:color="auto" w:sz="4" w:space="0"/>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20"/>
                <w:szCs w:val="20"/>
                <w14:textFill>
                  <w14:solidFill>
                    <w14:schemeClr w14:val="tx1"/>
                  </w14:solidFill>
                </w14:textFill>
              </w:rPr>
            </w:pPr>
          </w:p>
        </w:tc>
        <w:tc>
          <w:tcPr>
            <w:tcW w:w="318" w:type="dxa"/>
            <w:tcBorders>
              <w:top w:val="nil"/>
              <w:left w:val="nil"/>
              <w:bottom w:val="single" w:color="auto" w:sz="4" w:space="0"/>
              <w:right w:val="nil"/>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w:t>
            </w:r>
          </w:p>
        </w:tc>
        <w:tc>
          <w:tcPr>
            <w:tcW w:w="1769" w:type="dxa"/>
            <w:tcBorders>
              <w:top w:val="nil"/>
              <w:left w:val="nil"/>
              <w:bottom w:val="single" w:color="auto" w:sz="4" w:space="0"/>
              <w:right w:val="single" w:color="auto" w:sz="4" w:space="0"/>
            </w:tcBorders>
            <w:shd w:val="clear" w:color="auto" w:fill="auto"/>
          </w:tcPr>
          <w:p>
            <w:pPr>
              <w:spacing w:after="0" w:line="240" w:lineRule="auto"/>
              <w:rPr>
                <w:rFonts w:ascii="Bookman Old Style" w:hAnsi="Bookman Old Style" w:eastAsia="Times New Roman" w:cs="Tahoma"/>
                <w:color w:val="000000" w:themeColor="text1"/>
                <w:sz w:val="18"/>
                <w:szCs w:val="20"/>
                <w14:textFill>
                  <w14:solidFill>
                    <w14:schemeClr w14:val="tx1"/>
                  </w14:solidFill>
                </w14:textFill>
              </w:rPr>
            </w:pPr>
            <w:r>
              <w:rPr>
                <w:rFonts w:ascii="Bookman Old Style" w:hAnsi="Bookman Old Style" w:eastAsia="Times New Roman" w:cs="Tahoma"/>
                <w:color w:val="000000" w:themeColor="text1"/>
                <w:sz w:val="18"/>
                <w:szCs w:val="20"/>
                <w14:textFill>
                  <w14:solidFill>
                    <w14:schemeClr w14:val="tx1"/>
                  </w14:solidFill>
                </w14:textFill>
              </w:rPr>
              <w:t>Persentase produk lokal yang dipasarkan</w:t>
            </w:r>
          </w:p>
        </w:tc>
        <w:tc>
          <w:tcPr>
            <w:tcW w:w="1159"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36"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20"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965" w:type="dxa"/>
            <w:tcBorders>
              <w:top w:val="nil"/>
              <w:left w:val="nil"/>
              <w:bottom w:val="single" w:color="auto" w:sz="4" w:space="0"/>
              <w:right w:val="single" w:color="auto" w:sz="4"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059" w:type="dxa"/>
            <w:tcBorders>
              <w:top w:val="nil"/>
              <w:left w:val="nil"/>
              <w:bottom w:val="single" w:color="auto" w:sz="4" w:space="0"/>
              <w:right w:val="single" w:color="auto" w:sz="4" w:space="0"/>
            </w:tcBorders>
            <w:shd w:val="clear" w:color="auto" w:fill="auto"/>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tc>
        <w:tc>
          <w:tcPr>
            <w:tcW w:w="1293" w:type="dxa"/>
            <w:tcBorders>
              <w:top w:val="nil"/>
              <w:left w:val="single" w:color="auto" w:sz="4" w:space="0"/>
              <w:bottom w:val="single" w:color="auto" w:sz="4" w:space="0"/>
              <w:right w:val="double" w:color="auto" w:sz="6" w:space="0"/>
            </w:tcBorders>
            <w:shd w:val="clear" w:color="auto" w:fill="auto"/>
            <w:noWrap/>
          </w:tcPr>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r>
              <w:rPr>
                <w:rFonts w:ascii="Bookman Old Style" w:hAnsi="Bookman Old Style" w:eastAsia="Times New Roman" w:cs="Tahoma"/>
                <w:color w:val="000000" w:themeColor="text1"/>
                <w:sz w:val="20"/>
                <w:szCs w:val="20"/>
                <w14:textFill>
                  <w14:solidFill>
                    <w14:schemeClr w14:val="tx1"/>
                  </w14:solidFill>
                </w14:textFill>
              </w:rPr>
              <w:t>100</w:t>
            </w:r>
          </w:p>
          <w:p>
            <w:pPr>
              <w:spacing w:after="0" w:line="240" w:lineRule="auto"/>
              <w:jc w:val="center"/>
              <w:rPr>
                <w:rFonts w:ascii="Bookman Old Style" w:hAnsi="Bookman Old Style" w:eastAsia="Times New Roman" w:cs="Tahoma"/>
                <w:color w:val="000000" w:themeColor="text1"/>
                <w:sz w:val="20"/>
                <w:szCs w:val="20"/>
                <w14:textFill>
                  <w14:solidFill>
                    <w14:schemeClr w14:val="tx1"/>
                  </w14:solidFill>
                </w14:textFill>
              </w:rPr>
            </w:pPr>
          </w:p>
        </w:tc>
      </w:tr>
    </w:tbl>
    <w:p>
      <w:pPr>
        <w:tabs>
          <w:tab w:val="left" w:pos="1134"/>
          <w:tab w:val="left" w:pos="1418"/>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p>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Tabel 7.2</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Indikator Kinerja Pemerintah Kabupaten</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Yang mengacu pada tujuan dan sasaran RPJMD</w:t>
      </w: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p>
    <w:p>
      <w:pPr>
        <w:spacing w:after="0" w:line="240" w:lineRule="auto"/>
        <w:jc w:val="center"/>
        <w:rPr>
          <w:rFonts w:ascii="Bookman Old Style" w:hAnsi="Bookman Old Style" w:eastAsia="Times New Roman" w:cs="Tahoma"/>
          <w:color w:val="000000" w:themeColor="text1"/>
          <w:sz w:val="24"/>
          <w:szCs w:val="24"/>
          <w14:textFill>
            <w14:solidFill>
              <w14:schemeClr w14:val="tx1"/>
            </w14:solidFill>
          </w14:textFill>
        </w:rPr>
      </w:pPr>
    </w:p>
    <w:tbl>
      <w:tblPr>
        <w:tblStyle w:val="4"/>
        <w:tblW w:w="9639" w:type="dxa"/>
        <w:tblInd w:w="108" w:type="dxa"/>
        <w:tblLayout w:type="fixed"/>
        <w:tblCellMar>
          <w:top w:w="0" w:type="dxa"/>
          <w:left w:w="108" w:type="dxa"/>
          <w:bottom w:w="0" w:type="dxa"/>
          <w:right w:w="108" w:type="dxa"/>
        </w:tblCellMar>
      </w:tblPr>
      <w:tblGrid>
        <w:gridCol w:w="1560"/>
        <w:gridCol w:w="1842"/>
        <w:gridCol w:w="851"/>
        <w:gridCol w:w="1009"/>
        <w:gridCol w:w="724"/>
        <w:gridCol w:w="677"/>
        <w:gridCol w:w="708"/>
        <w:gridCol w:w="709"/>
        <w:gridCol w:w="196"/>
        <w:gridCol w:w="567"/>
        <w:gridCol w:w="109"/>
        <w:gridCol w:w="687"/>
      </w:tblGrid>
      <w:tr>
        <w:tblPrEx>
          <w:tblCellMar>
            <w:top w:w="0" w:type="dxa"/>
            <w:left w:w="108" w:type="dxa"/>
            <w:bottom w:w="0" w:type="dxa"/>
            <w:right w:w="108" w:type="dxa"/>
          </w:tblCellMar>
        </w:tblPrEx>
        <w:trPr>
          <w:trHeight w:val="309" w:hRule="atLeast"/>
        </w:trPr>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Kode Indikator</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Indikator</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Satuan</w:t>
            </w:r>
          </w:p>
        </w:tc>
        <w:tc>
          <w:tcPr>
            <w:tcW w:w="1009"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Baseline</w:t>
            </w:r>
          </w:p>
        </w:tc>
        <w:tc>
          <w:tcPr>
            <w:tcW w:w="4377" w:type="dxa"/>
            <w:gridSpan w:val="8"/>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Target Pencapaian</w:t>
            </w:r>
          </w:p>
        </w:tc>
      </w:tr>
      <w:tr>
        <w:tblPrEx>
          <w:tblCellMar>
            <w:top w:w="0" w:type="dxa"/>
            <w:left w:w="108" w:type="dxa"/>
            <w:bottom w:w="0" w:type="dxa"/>
            <w:right w:w="108" w:type="dxa"/>
          </w:tblCellMar>
        </w:tblPrEx>
        <w:trPr>
          <w:trHeight w:val="309"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p>
        </w:tc>
        <w:tc>
          <w:tcPr>
            <w:tcW w:w="1009"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2020</w:t>
            </w:r>
          </w:p>
        </w:tc>
        <w:tc>
          <w:tcPr>
            <w:tcW w:w="7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2021</w:t>
            </w:r>
          </w:p>
        </w:tc>
        <w:tc>
          <w:tcPr>
            <w:tcW w:w="6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2022</w:t>
            </w:r>
          </w:p>
        </w:tc>
        <w:tc>
          <w:tcPr>
            <w:tcW w:w="70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2023</w:t>
            </w:r>
          </w:p>
        </w:tc>
        <w:tc>
          <w:tcPr>
            <w:tcW w:w="905" w:type="dxa"/>
            <w:gridSpan w:val="2"/>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2024</w:t>
            </w:r>
          </w:p>
        </w:tc>
        <w:tc>
          <w:tcPr>
            <w:tcW w:w="676" w:type="dxa"/>
            <w:gridSpan w:val="2"/>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2025</w:t>
            </w:r>
          </w:p>
        </w:tc>
        <w:tc>
          <w:tcPr>
            <w:tcW w:w="68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2026</w:t>
            </w:r>
          </w:p>
        </w:tc>
      </w:tr>
      <w:tr>
        <w:tblPrEx>
          <w:tblCellMar>
            <w:top w:w="0" w:type="dxa"/>
            <w:left w:w="108" w:type="dxa"/>
            <w:bottom w:w="0" w:type="dxa"/>
            <w:right w:w="108" w:type="dxa"/>
          </w:tblCellMar>
        </w:tblPrEx>
        <w:trPr>
          <w:trHeight w:val="309" w:hRule="atLeast"/>
        </w:trPr>
        <w:tc>
          <w:tcPr>
            <w:tcW w:w="1560" w:type="dxa"/>
            <w:tcBorders>
              <w:top w:val="dotted" w:color="auto" w:sz="4" w:space="0"/>
              <w:left w:val="single" w:color="auto" w:sz="4" w:space="0"/>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Tujuan 8. Pekerjaan Layak dan Pertumbuhan Ekonomi</w:t>
            </w:r>
          </w:p>
        </w:tc>
        <w:tc>
          <w:tcPr>
            <w:tcW w:w="1842"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851"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1009"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24"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677"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08"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905" w:type="dxa"/>
            <w:gridSpan w:val="2"/>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676" w:type="dxa"/>
            <w:gridSpan w:val="2"/>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687" w:type="dxa"/>
            <w:tcBorders>
              <w:top w:val="dotted" w:color="auto" w:sz="4" w:space="0"/>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r>
      <w:tr>
        <w:tblPrEx>
          <w:tblCellMar>
            <w:top w:w="0" w:type="dxa"/>
            <w:left w:w="108" w:type="dxa"/>
            <w:bottom w:w="0" w:type="dxa"/>
            <w:right w:w="108" w:type="dxa"/>
          </w:tblCellMar>
        </w:tblPrEx>
        <w:trPr>
          <w:trHeight w:val="309" w:hRule="atLeast"/>
        </w:trPr>
        <w:tc>
          <w:tcPr>
            <w:tcW w:w="1560" w:type="dxa"/>
            <w:tcBorders>
              <w:top w:val="nil"/>
              <w:left w:val="single" w:color="auto" w:sz="4" w:space="0"/>
              <w:bottom w:val="dotted" w:color="auto" w:sz="4" w:space="0"/>
              <w:right w:val="single" w:color="auto" w:sz="4" w:space="0"/>
            </w:tcBorders>
            <w:shd w:val="clear" w:color="000000" w:fill="D9D9D9"/>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8.1</w:t>
            </w:r>
          </w:p>
        </w:tc>
        <w:tc>
          <w:tcPr>
            <w:tcW w:w="8079" w:type="dxa"/>
            <w:gridSpan w:val="11"/>
            <w:tcBorders>
              <w:top w:val="dotted" w:color="auto" w:sz="4" w:space="0"/>
              <w:left w:val="nil"/>
              <w:bottom w:val="dotted" w:color="auto" w:sz="4" w:space="0"/>
              <w:right w:val="single" w:color="auto" w:sz="4" w:space="0"/>
            </w:tcBorders>
            <w:shd w:val="clear" w:color="000000" w:fill="D9D9D9"/>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Mempertahankan Perumbuhan Ekonomi perkapita sesuai dengan kondisi nasional dan khususnya , setidaknya 7 persen pertumbuhan produk domestic bruto pertahun di Negara kurang berkembang</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8.1.1.(a)</w:t>
            </w:r>
          </w:p>
        </w:tc>
        <w:tc>
          <w:tcPr>
            <w:tcW w:w="1842" w:type="dxa"/>
            <w:tcBorders>
              <w:top w:val="nil"/>
              <w:left w:val="nil"/>
              <w:bottom w:val="dotted"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PDB perkapita</w:t>
            </w:r>
          </w:p>
        </w:tc>
        <w:tc>
          <w:tcPr>
            <w:tcW w:w="851"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Juta/jiwa</w:t>
            </w:r>
          </w:p>
        </w:tc>
        <w:tc>
          <w:tcPr>
            <w:tcW w:w="1009" w:type="dxa"/>
            <w:tcBorders>
              <w:top w:val="nil"/>
              <w:left w:val="nil"/>
              <w:bottom w:val="dotted"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xml:space="preserve"> 46,71 </w:t>
            </w:r>
          </w:p>
        </w:tc>
        <w:tc>
          <w:tcPr>
            <w:tcW w:w="724"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0</w:t>
            </w:r>
          </w:p>
        </w:tc>
        <w:tc>
          <w:tcPr>
            <w:tcW w:w="677"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49,83</w:t>
            </w:r>
          </w:p>
        </w:tc>
        <w:tc>
          <w:tcPr>
            <w:tcW w:w="708" w:type="dxa"/>
            <w:tcBorders>
              <w:top w:val="nil"/>
              <w:left w:val="nil"/>
              <w:bottom w:val="dotted" w:color="auto" w:sz="4" w:space="0"/>
              <w:right w:val="single" w:color="auto" w:sz="4" w:space="0"/>
            </w:tcBorders>
            <w:shd w:val="clear" w:color="auto" w:fill="auto"/>
            <w:noWrap/>
            <w:vAlign w:val="bottom"/>
          </w:tcPr>
          <w:p>
            <w:pPr>
              <w:spacing w:before="240"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53,50</w:t>
            </w:r>
          </w:p>
        </w:tc>
        <w:tc>
          <w:tcPr>
            <w:tcW w:w="709"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55,00</w:t>
            </w:r>
          </w:p>
        </w:tc>
        <w:tc>
          <w:tcPr>
            <w:tcW w:w="763"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57,50</w:t>
            </w:r>
          </w:p>
        </w:tc>
        <w:tc>
          <w:tcPr>
            <w:tcW w:w="796"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60,00</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C6D9F0"/>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8.2</w:t>
            </w:r>
          </w:p>
        </w:tc>
        <w:tc>
          <w:tcPr>
            <w:tcW w:w="8079" w:type="dxa"/>
            <w:gridSpan w:val="11"/>
            <w:tcBorders>
              <w:top w:val="nil"/>
              <w:left w:val="nil"/>
              <w:bottom w:val="dotted" w:color="auto" w:sz="4" w:space="0"/>
              <w:right w:val="single" w:color="auto" w:sz="4" w:space="0"/>
            </w:tcBorders>
            <w:shd w:val="clear" w:color="auto" w:fill="C6D9F0"/>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Mencapai tingkat produktivitas ekonomi yang lebih tinggi, melalui diversifikasi, peningkatan dan inovasi teknologi termasuk melalui focus pada sector yang memberi nilai tambah tinggi dan padat karya.</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8.2.1.*</w:t>
            </w:r>
          </w:p>
        </w:tc>
        <w:tc>
          <w:tcPr>
            <w:tcW w:w="1842" w:type="dxa"/>
            <w:tcBorders>
              <w:top w:val="nil"/>
              <w:left w:val="nil"/>
              <w:bottom w:val="dotted"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LAju Pertumbuhan PDB per tenaga kerja/tingkat pertumbuhan PDB Riil per orang bekerja per tahun</w:t>
            </w:r>
          </w:p>
        </w:tc>
        <w:tc>
          <w:tcPr>
            <w:tcW w:w="851"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w:t>
            </w:r>
          </w:p>
        </w:tc>
        <w:tc>
          <w:tcPr>
            <w:tcW w:w="1009" w:type="dxa"/>
            <w:tcBorders>
              <w:top w:val="nil"/>
              <w:left w:val="nil"/>
              <w:bottom w:val="dotted"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9,72</w:t>
            </w:r>
          </w:p>
        </w:tc>
        <w:tc>
          <w:tcPr>
            <w:tcW w:w="724"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0</w:t>
            </w:r>
          </w:p>
        </w:tc>
        <w:tc>
          <w:tcPr>
            <w:tcW w:w="677"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10,13</w:t>
            </w:r>
          </w:p>
        </w:tc>
        <w:tc>
          <w:tcPr>
            <w:tcW w:w="708" w:type="dxa"/>
            <w:tcBorders>
              <w:top w:val="nil"/>
              <w:left w:val="nil"/>
              <w:bottom w:val="dotted" w:color="auto" w:sz="4" w:space="0"/>
              <w:right w:val="single" w:color="auto" w:sz="4" w:space="0"/>
            </w:tcBorders>
            <w:shd w:val="clear" w:color="auto" w:fill="auto"/>
            <w:noWrap/>
            <w:vAlign w:val="bottom"/>
          </w:tcPr>
          <w:p>
            <w:pPr>
              <w:spacing w:before="240"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10,34</w:t>
            </w:r>
          </w:p>
        </w:tc>
        <w:tc>
          <w:tcPr>
            <w:tcW w:w="709"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10,56</w:t>
            </w:r>
          </w:p>
        </w:tc>
        <w:tc>
          <w:tcPr>
            <w:tcW w:w="763"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10,78</w:t>
            </w:r>
          </w:p>
        </w:tc>
        <w:tc>
          <w:tcPr>
            <w:tcW w:w="796"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11,00</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C6D9F0"/>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8.3</w:t>
            </w:r>
          </w:p>
        </w:tc>
        <w:tc>
          <w:tcPr>
            <w:tcW w:w="8079" w:type="dxa"/>
            <w:gridSpan w:val="11"/>
            <w:tcBorders>
              <w:top w:val="nil"/>
              <w:left w:val="nil"/>
              <w:bottom w:val="dotted" w:color="auto" w:sz="4" w:space="0"/>
              <w:right w:val="single" w:color="auto" w:sz="4" w:space="0"/>
            </w:tcBorders>
            <w:shd w:val="clear" w:color="auto" w:fill="C6D9F0"/>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Menggalakkan  Kebijakan pembangunan yang mendukung kegiatan produktif, penciptaan lapangan kerja layak, kewirausahaan, kreativitas dan inovasi, dan mendorong formalisasi dan pertumbuhan usaha mikro, kecil dan menengah, termasuk melalui akses terhadap jasa keuangan.</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8.3.1.(a)</w:t>
            </w:r>
          </w:p>
        </w:tc>
        <w:tc>
          <w:tcPr>
            <w:tcW w:w="1842" w:type="dxa"/>
            <w:tcBorders>
              <w:top w:val="nil"/>
              <w:left w:val="nil"/>
              <w:bottom w:val="single"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Persentase tenaga kerja formal</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w:t>
            </w:r>
          </w:p>
        </w:tc>
        <w:tc>
          <w:tcPr>
            <w:tcW w:w="1009" w:type="dxa"/>
            <w:tcBorders>
              <w:top w:val="nil"/>
              <w:left w:val="nil"/>
              <w:bottom w:val="single"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51,10</w:t>
            </w:r>
          </w:p>
        </w:tc>
        <w:tc>
          <w:tcPr>
            <w:tcW w:w="724" w:type="dxa"/>
            <w:tcBorders>
              <w:top w:val="nil"/>
              <w:left w:val="nil"/>
              <w:bottom w:val="single"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0</w:t>
            </w:r>
          </w:p>
        </w:tc>
        <w:tc>
          <w:tcPr>
            <w:tcW w:w="677" w:type="dxa"/>
            <w:tcBorders>
              <w:top w:val="nil"/>
              <w:left w:val="nil"/>
              <w:bottom w:val="single"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52,68</w:t>
            </w:r>
          </w:p>
        </w:tc>
        <w:tc>
          <w:tcPr>
            <w:tcW w:w="708" w:type="dxa"/>
            <w:tcBorders>
              <w:top w:val="nil"/>
              <w:left w:val="nil"/>
              <w:bottom w:val="single" w:color="auto" w:sz="4" w:space="0"/>
              <w:right w:val="single" w:color="auto" w:sz="4" w:space="0"/>
            </w:tcBorders>
            <w:shd w:val="clear" w:color="auto" w:fill="auto"/>
            <w:noWrap/>
            <w:vAlign w:val="bottom"/>
          </w:tcPr>
          <w:p>
            <w:pPr>
              <w:spacing w:before="240"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53,49</w:t>
            </w:r>
          </w:p>
        </w:tc>
        <w:tc>
          <w:tcPr>
            <w:tcW w:w="709" w:type="dxa"/>
            <w:tcBorders>
              <w:top w:val="nil"/>
              <w:left w:val="nil"/>
              <w:bottom w:val="single"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54,32</w:t>
            </w:r>
          </w:p>
        </w:tc>
        <w:tc>
          <w:tcPr>
            <w:tcW w:w="763" w:type="dxa"/>
            <w:gridSpan w:val="2"/>
            <w:tcBorders>
              <w:top w:val="nil"/>
              <w:left w:val="nil"/>
              <w:bottom w:val="single"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55,15</w:t>
            </w:r>
          </w:p>
        </w:tc>
        <w:tc>
          <w:tcPr>
            <w:tcW w:w="796" w:type="dxa"/>
            <w:gridSpan w:val="2"/>
            <w:tcBorders>
              <w:top w:val="nil"/>
              <w:left w:val="nil"/>
              <w:bottom w:val="single"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56,00</w:t>
            </w:r>
          </w:p>
        </w:tc>
      </w:tr>
      <w:tr>
        <w:tblPrEx>
          <w:tblCellMar>
            <w:top w:w="0" w:type="dxa"/>
            <w:left w:w="108" w:type="dxa"/>
            <w:bottom w:w="0" w:type="dxa"/>
            <w:right w:w="108" w:type="dxa"/>
          </w:tblCellMar>
        </w:tblPrEx>
        <w:trPr>
          <w:trHeight w:val="621" w:hRule="atLeast"/>
        </w:trPr>
        <w:tc>
          <w:tcPr>
            <w:tcW w:w="1560" w:type="dxa"/>
            <w:tcBorders>
              <w:top w:val="single" w:color="auto" w:sz="4" w:space="0"/>
              <w:left w:val="single" w:color="auto" w:sz="4" w:space="0"/>
              <w:bottom w:val="dotted"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8.6</w:t>
            </w:r>
          </w:p>
        </w:tc>
        <w:tc>
          <w:tcPr>
            <w:tcW w:w="8079" w:type="dxa"/>
            <w:gridSpan w:val="11"/>
            <w:tcBorders>
              <w:top w:val="single" w:color="auto" w:sz="4" w:space="0"/>
              <w:left w:val="nil"/>
              <w:bottom w:val="dotted"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Pada tahun 2020, secara substansional mengurangi proporsi usia muda yang tidak bekerja, tidak menempuh pendidikan atau pelatihan</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8.6.1*</w:t>
            </w:r>
          </w:p>
        </w:tc>
        <w:tc>
          <w:tcPr>
            <w:tcW w:w="1842" w:type="dxa"/>
            <w:tcBorders>
              <w:top w:val="nil"/>
              <w:left w:val="nil"/>
              <w:bottom w:val="dotted" w:color="auto" w:sz="4" w:space="0"/>
              <w:right w:val="single" w:color="auto" w:sz="4" w:space="0"/>
            </w:tcBorders>
            <w:shd w:val="clear" w:color="auto" w:fill="auto"/>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Persentase Usia  muda  (15-24 tahun) yang sedang tidak sekolah, bekerja atau mengikuti pelatihan (NEET)</w:t>
            </w:r>
          </w:p>
        </w:tc>
        <w:tc>
          <w:tcPr>
            <w:tcW w:w="851"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w:t>
            </w:r>
          </w:p>
        </w:tc>
        <w:tc>
          <w:tcPr>
            <w:tcW w:w="1009" w:type="dxa"/>
            <w:tcBorders>
              <w:top w:val="nil"/>
              <w:left w:val="nil"/>
              <w:bottom w:val="dotted"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20</w:t>
            </w:r>
          </w:p>
        </w:tc>
        <w:tc>
          <w:tcPr>
            <w:tcW w:w="724"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p>
        </w:tc>
        <w:tc>
          <w:tcPr>
            <w:tcW w:w="677"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22</w:t>
            </w:r>
          </w:p>
        </w:tc>
        <w:tc>
          <w:tcPr>
            <w:tcW w:w="708" w:type="dxa"/>
            <w:tcBorders>
              <w:top w:val="nil"/>
              <w:left w:val="nil"/>
              <w:bottom w:val="dotted" w:color="auto" w:sz="4" w:space="0"/>
              <w:right w:val="single" w:color="auto" w:sz="4" w:space="0"/>
            </w:tcBorders>
            <w:shd w:val="clear" w:color="auto" w:fill="auto"/>
            <w:noWrap/>
            <w:vAlign w:val="bottom"/>
          </w:tcPr>
          <w:p>
            <w:pPr>
              <w:spacing w:before="240"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24</w:t>
            </w:r>
          </w:p>
        </w:tc>
        <w:tc>
          <w:tcPr>
            <w:tcW w:w="709" w:type="dxa"/>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26</w:t>
            </w:r>
          </w:p>
        </w:tc>
        <w:tc>
          <w:tcPr>
            <w:tcW w:w="763"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26</w:t>
            </w:r>
          </w:p>
        </w:tc>
        <w:tc>
          <w:tcPr>
            <w:tcW w:w="796" w:type="dxa"/>
            <w:gridSpan w:val="2"/>
            <w:tcBorders>
              <w:top w:val="nil"/>
              <w:left w:val="nil"/>
              <w:bottom w:val="dotted" w:color="auto" w:sz="4" w:space="0"/>
              <w:right w:val="single" w:color="auto" w:sz="4" w:space="0"/>
            </w:tcBorders>
            <w:shd w:val="clear" w:color="auto" w:fill="auto"/>
            <w:noWrap/>
            <w:vAlign w:val="bottom"/>
          </w:tcPr>
          <w:p>
            <w:pPr>
              <w:spacing w:after="0" w:line="240" w:lineRule="auto"/>
              <w:jc w:val="right"/>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26</w:t>
            </w:r>
          </w:p>
        </w:tc>
      </w:tr>
      <w:tr>
        <w:tblPrEx>
          <w:tblCellMar>
            <w:top w:w="0" w:type="dxa"/>
            <w:left w:w="108" w:type="dxa"/>
            <w:bottom w:w="0" w:type="dxa"/>
            <w:right w:w="108" w:type="dxa"/>
          </w:tblCellMar>
        </w:tblPrEx>
        <w:trPr>
          <w:trHeight w:val="309" w:hRule="atLeast"/>
        </w:trPr>
        <w:tc>
          <w:tcPr>
            <w:tcW w:w="1560" w:type="dxa"/>
            <w:tcBorders>
              <w:top w:val="nil"/>
              <w:left w:val="single" w:color="auto" w:sz="4" w:space="0"/>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Tujuan 12. Konsumsi dan Produksi yang Bertanggung Jawab</w:t>
            </w:r>
          </w:p>
        </w:tc>
        <w:tc>
          <w:tcPr>
            <w:tcW w:w="1842"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851"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1009"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24"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677"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08"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09" w:type="dxa"/>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63" w:type="dxa"/>
            <w:gridSpan w:val="2"/>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96" w:type="dxa"/>
            <w:gridSpan w:val="2"/>
            <w:tcBorders>
              <w:top w:val="nil"/>
              <w:left w:val="nil"/>
              <w:bottom w:val="dotted" w:color="auto" w:sz="4" w:space="0"/>
              <w:right w:val="single" w:color="auto" w:sz="4" w:space="0"/>
            </w:tcBorders>
            <w:shd w:val="clear" w:color="000000" w:fill="E6B8B7"/>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r>
      <w:tr>
        <w:tblPrEx>
          <w:tblCellMar>
            <w:top w:w="0" w:type="dxa"/>
            <w:left w:w="108" w:type="dxa"/>
            <w:bottom w:w="0" w:type="dxa"/>
            <w:right w:w="108" w:type="dxa"/>
          </w:tblCellMar>
        </w:tblPrEx>
        <w:trPr>
          <w:trHeight w:val="309" w:hRule="atLeast"/>
        </w:trPr>
        <w:tc>
          <w:tcPr>
            <w:tcW w:w="1560" w:type="dxa"/>
            <w:tcBorders>
              <w:top w:val="nil"/>
              <w:left w:val="single" w:color="auto" w:sz="4" w:space="0"/>
              <w:bottom w:val="dotted" w:color="auto" w:sz="4" w:space="0"/>
              <w:right w:val="single" w:color="auto" w:sz="4" w:space="0"/>
            </w:tcBorders>
            <w:shd w:val="clear" w:color="000000" w:fill="D9D9D9"/>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12.7</w:t>
            </w:r>
          </w:p>
        </w:tc>
        <w:tc>
          <w:tcPr>
            <w:tcW w:w="8079" w:type="dxa"/>
            <w:gridSpan w:val="11"/>
            <w:tcBorders>
              <w:top w:val="dotted" w:color="auto" w:sz="4" w:space="0"/>
              <w:left w:val="nil"/>
              <w:bottom w:val="dotted" w:color="auto" w:sz="4" w:space="0"/>
              <w:right w:val="single" w:color="auto" w:sz="4" w:space="0"/>
            </w:tcBorders>
            <w:shd w:val="clear" w:color="000000" w:fill="D9D9D9"/>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Mempromosikan praktek pengadaan publik yang berkelanjutan, sesuai dengan kebijakan dan prioritas nasional.</w:t>
            </w:r>
          </w:p>
        </w:tc>
      </w:tr>
      <w:tr>
        <w:tblPrEx>
          <w:tblCellMar>
            <w:top w:w="0" w:type="dxa"/>
            <w:left w:w="108" w:type="dxa"/>
            <w:bottom w:w="0" w:type="dxa"/>
            <w:right w:w="108" w:type="dxa"/>
          </w:tblCellMar>
        </w:tblPrEx>
        <w:trPr>
          <w:trHeight w:val="621" w:hRule="atLeast"/>
        </w:trPr>
        <w:tc>
          <w:tcPr>
            <w:tcW w:w="1560" w:type="dxa"/>
            <w:tcBorders>
              <w:top w:val="nil"/>
              <w:left w:val="single" w:color="auto" w:sz="4" w:space="0"/>
              <w:bottom w:val="dotted" w:color="auto" w:sz="4" w:space="0"/>
              <w:right w:val="single" w:color="auto" w:sz="4" w:space="0"/>
            </w:tcBorders>
            <w:shd w:val="clear" w:color="auto" w:fill="auto"/>
            <w:noWrap/>
            <w:vAlign w:val="center"/>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12.7.1.(a)</w:t>
            </w:r>
          </w:p>
        </w:tc>
        <w:tc>
          <w:tcPr>
            <w:tcW w:w="1842" w:type="dxa"/>
            <w:tcBorders>
              <w:top w:val="nil"/>
              <w:left w:val="nil"/>
              <w:bottom w:val="dotted" w:color="auto" w:sz="4" w:space="0"/>
              <w:right w:val="single" w:color="auto" w:sz="4" w:space="0"/>
            </w:tcBorders>
            <w:shd w:val="clear" w:color="auto" w:fill="auto"/>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Jumlah produk ramah lingkungan yang teregister.</w:t>
            </w:r>
          </w:p>
        </w:tc>
        <w:tc>
          <w:tcPr>
            <w:tcW w:w="851" w:type="dxa"/>
            <w:tcBorders>
              <w:top w:val="nil"/>
              <w:left w:val="nil"/>
              <w:bottom w:val="dotted"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1009" w:type="dxa"/>
            <w:tcBorders>
              <w:top w:val="nil"/>
              <w:left w:val="nil"/>
              <w:bottom w:val="dotted" w:color="auto" w:sz="4" w:space="0"/>
              <w:right w:val="single" w:color="auto" w:sz="4" w:space="0"/>
            </w:tcBorders>
            <w:shd w:val="clear" w:color="auto" w:fill="auto"/>
            <w:noWrap/>
            <w:vAlign w:val="bottom"/>
          </w:tcPr>
          <w:p>
            <w:pPr>
              <w:spacing w:after="0" w:line="240" w:lineRule="auto"/>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 </w:t>
            </w:r>
          </w:p>
        </w:tc>
        <w:tc>
          <w:tcPr>
            <w:tcW w:w="724"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26</w:t>
            </w:r>
          </w:p>
        </w:tc>
        <w:tc>
          <w:tcPr>
            <w:tcW w:w="677"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27</w:t>
            </w:r>
          </w:p>
        </w:tc>
        <w:tc>
          <w:tcPr>
            <w:tcW w:w="708"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28</w:t>
            </w:r>
          </w:p>
        </w:tc>
        <w:tc>
          <w:tcPr>
            <w:tcW w:w="709" w:type="dxa"/>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29</w:t>
            </w:r>
          </w:p>
        </w:tc>
        <w:tc>
          <w:tcPr>
            <w:tcW w:w="763" w:type="dxa"/>
            <w:gridSpan w:val="2"/>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30</w:t>
            </w:r>
          </w:p>
        </w:tc>
        <w:tc>
          <w:tcPr>
            <w:tcW w:w="796" w:type="dxa"/>
            <w:gridSpan w:val="2"/>
            <w:tcBorders>
              <w:top w:val="nil"/>
              <w:left w:val="nil"/>
              <w:bottom w:val="dotted" w:color="auto" w:sz="4" w:space="0"/>
              <w:right w:val="single" w:color="auto" w:sz="4" w:space="0"/>
            </w:tcBorders>
            <w:shd w:val="clear" w:color="auto" w:fill="auto"/>
            <w:noWrap/>
            <w:vAlign w:val="center"/>
          </w:tcPr>
          <w:p>
            <w:pPr>
              <w:spacing w:after="0" w:line="240" w:lineRule="auto"/>
              <w:jc w:val="center"/>
              <w:rPr>
                <w:rFonts w:ascii="Calibri" w:hAnsi="Calibri" w:eastAsia="Times New Roman" w:cs="Calibri"/>
                <w:color w:val="000000" w:themeColor="text1"/>
                <w:sz w:val="20"/>
                <w:szCs w:val="20"/>
                <w14:textFill>
                  <w14:solidFill>
                    <w14:schemeClr w14:val="tx1"/>
                  </w14:solidFill>
                </w14:textFill>
              </w:rPr>
            </w:pPr>
            <w:r>
              <w:rPr>
                <w:rFonts w:ascii="Calibri" w:hAnsi="Calibri" w:eastAsia="Times New Roman" w:cs="Calibri"/>
                <w:color w:val="000000" w:themeColor="text1"/>
                <w:sz w:val="20"/>
                <w:szCs w:val="20"/>
                <w14:textFill>
                  <w14:solidFill>
                    <w14:schemeClr w14:val="tx1"/>
                  </w14:solidFill>
                </w14:textFill>
              </w:rPr>
              <w:t>31</w:t>
            </w:r>
          </w:p>
        </w:tc>
      </w:tr>
    </w:tbl>
    <w:p>
      <w:pPr>
        <w:spacing w:after="0" w:line="240" w:lineRule="auto"/>
        <w:rPr>
          <w:rFonts w:ascii="Bookman Old Style" w:hAnsi="Bookman Old Style" w:eastAsia="Times New Roman" w:cs="Tahoma"/>
          <w:color w:val="000000" w:themeColor="text1"/>
          <w:sz w:val="24"/>
          <w:szCs w:val="24"/>
          <w14:textFill>
            <w14:solidFill>
              <w14:schemeClr w14:val="tx1"/>
            </w14:solidFill>
          </w14:textFill>
        </w:rPr>
        <w:sectPr>
          <w:pgSz w:w="12240" w:h="20160"/>
          <w:pgMar w:top="1134" w:right="1134" w:bottom="2098" w:left="1701" w:header="720" w:footer="2268" w:gutter="0"/>
          <w:cols w:space="720" w:num="1"/>
          <w:docGrid w:linePitch="326" w:charSpace="0"/>
        </w:sectPr>
      </w:pPr>
    </w:p>
    <w:p>
      <w:pPr>
        <w:tabs>
          <w:tab w:val="left" w:pos="6279"/>
        </w:tabs>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BAB VIII</w:t>
      </w:r>
    </w:p>
    <w:p>
      <w:pPr>
        <w:spacing w:after="0" w:line="360" w:lineRule="auto"/>
        <w:jc w:val="center"/>
        <w:rPr>
          <w:rFonts w:ascii="Bookman Old Style" w:hAnsi="Bookman Old Style" w:eastAsia="Times New Roman" w:cs="Tahoma"/>
          <w:b/>
          <w:color w:val="000000" w:themeColor="text1"/>
          <w:sz w:val="24"/>
          <w:szCs w:val="24"/>
          <w14:textFill>
            <w14:solidFill>
              <w14:schemeClr w14:val="tx1"/>
            </w14:solidFill>
          </w14:textFill>
        </w:rPr>
      </w:pPr>
      <w:r>
        <w:rPr>
          <w:rFonts w:ascii="Bookman Old Style" w:hAnsi="Bookman Old Style" w:eastAsia="Times New Roman" w:cs="Tahoma"/>
          <w:b/>
          <w:color w:val="000000" w:themeColor="text1"/>
          <w:sz w:val="24"/>
          <w:szCs w:val="24"/>
          <w14:textFill>
            <w14:solidFill>
              <w14:schemeClr w14:val="tx1"/>
            </w14:solidFill>
          </w14:textFill>
        </w:rPr>
        <w:t>P E N U T U P</w:t>
      </w:r>
    </w:p>
    <w:p>
      <w:pPr>
        <w:spacing w:after="0" w:line="360" w:lineRule="auto"/>
        <w:jc w:val="center"/>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14:textFill>
            <w14:solidFill>
              <w14:schemeClr w14:val="tx1"/>
            </w14:solidFill>
          </w14:textFill>
        </w:rPr>
        <w:t xml:space="preserve">       </w:t>
      </w:r>
    </w:p>
    <w:p>
      <w:pPr>
        <w:tabs>
          <w:tab w:val="left" w:pos="1134"/>
        </w:tabs>
        <w:autoSpaceDE w:val="0"/>
        <w:autoSpaceDN w:val="0"/>
        <w:adjustRightInd w:val="0"/>
        <w:spacing w:after="0" w:line="360" w:lineRule="auto"/>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 xml:space="preserve">Renstra Dinas Perdagangan, Koperasi dan Usaha Kecil dan Menengah Kabupaten Kepulauan Selayar Tahun 2021-2026 merupakan penjabaran secara operasional sesuai dengan tugas pokok dan fungsi OPD dari visi, misi, arah kebijakan, sasaran dan strategi dalam RPJMD Kabupaten Kepulauan Selayar Tahun 2021-2026. </w:t>
      </w:r>
    </w:p>
    <w:p>
      <w:pPr>
        <w:tabs>
          <w:tab w:val="left" w:pos="1170"/>
        </w:tabs>
        <w:autoSpaceDE w:val="0"/>
        <w:autoSpaceDN w:val="0"/>
        <w:adjustRightInd w:val="0"/>
        <w:spacing w:after="0" w:line="360" w:lineRule="auto"/>
        <w:ind w:firstLine="720"/>
        <w:jc w:val="both"/>
        <w:rPr>
          <w:rFonts w:ascii="Bookman Old Style" w:hAnsi="Bookman Old Style" w:eastAsia="Times New Roman" w:cs="Tahoma"/>
          <w:color w:val="000000" w:themeColor="text1"/>
          <w:sz w:val="24"/>
          <w:szCs w:val="24"/>
          <w:lang w:eastAsia="id-ID"/>
          <w14:textFill>
            <w14:solidFill>
              <w14:schemeClr w14:val="tx1"/>
            </w14:solidFill>
          </w14:textFill>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Renstra Dinas Perdagangan, Koperasi dan Usaha Kecil dan Menengah merupakan dasar/acuan untuk penyusunan Rencana Kerja Tahunan serta menjadi pedoman bagi seluruh jajaran pimpinan dan staf Dinas Perdagangan, Koperasi, Usaha Kecil dan Menengah dalam melaksanakan tugas dan fungsinya.</w:t>
      </w:r>
    </w:p>
    <w:p>
      <w:pPr>
        <w:tabs>
          <w:tab w:val="left" w:pos="1170"/>
        </w:tabs>
        <w:autoSpaceDE w:val="0"/>
        <w:autoSpaceDN w:val="0"/>
        <w:adjustRightInd w:val="0"/>
        <w:spacing w:after="0" w:line="360" w:lineRule="auto"/>
        <w:ind w:firstLine="720"/>
        <w:jc w:val="both"/>
        <w:rPr>
          <w:rFonts w:ascii="Bookman Old Style" w:hAnsi="Bookman Old Style" w:eastAsia="Calibri" w:cs="Calibri"/>
          <w:color w:val="000000"/>
          <w:sz w:val="24"/>
          <w:szCs w:val="24"/>
          <w:lang w:val="id-ID"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cs="Calibri"/>
          <w:color w:val="000000"/>
          <w:sz w:val="24"/>
          <w:szCs w:val="24"/>
          <w:lang w:val="id-ID" w:eastAsia="id-ID"/>
        </w:rPr>
        <w:t>Keberhasilan pelaksanaan program dan kegiatan untuk mencapai sasaran</w:t>
      </w:r>
      <w:r>
        <w:rPr>
          <w:rFonts w:ascii="Bookman Old Style" w:hAnsi="Bookman Old Style" w:cs="Calibri"/>
          <w:color w:val="000000"/>
          <w:sz w:val="24"/>
          <w:szCs w:val="24"/>
          <w:lang w:eastAsia="id-ID"/>
        </w:rPr>
        <w:t xml:space="preserve"> </w:t>
      </w:r>
      <w:r>
        <w:rPr>
          <w:rFonts w:ascii="Bookman Old Style" w:hAnsi="Bookman Old Style" w:cs="Calibri"/>
          <w:color w:val="000000"/>
          <w:sz w:val="24"/>
          <w:szCs w:val="24"/>
          <w:lang w:val="id-ID" w:eastAsia="id-ID"/>
        </w:rPr>
        <w:t>strategis yang telah ditetapkan dalam 5</w:t>
      </w:r>
      <w:r>
        <w:rPr>
          <w:rFonts w:ascii="Bookman Old Style" w:hAnsi="Bookman Old Style" w:cs="Calibri"/>
          <w:color w:val="000000"/>
          <w:sz w:val="24"/>
          <w:szCs w:val="24"/>
          <w:lang w:eastAsia="id-ID"/>
        </w:rPr>
        <w:t xml:space="preserve"> </w:t>
      </w:r>
      <w:r>
        <w:rPr>
          <w:rFonts w:ascii="Bookman Old Style" w:hAnsi="Bookman Old Style" w:cs="Calibri"/>
          <w:color w:val="000000"/>
          <w:sz w:val="24"/>
          <w:szCs w:val="24"/>
          <w:lang w:val="id-ID" w:eastAsia="id-ID"/>
        </w:rPr>
        <w:t>(lima) tahun mendatang dapat dilaksanakan sesuai rencana kerja</w:t>
      </w:r>
      <w:r>
        <w:rPr>
          <w:rFonts w:ascii="Bookman Old Style" w:hAnsi="Bookman Old Style" w:cs="Calibri"/>
          <w:color w:val="000000"/>
          <w:sz w:val="24"/>
          <w:szCs w:val="24"/>
          <w:lang w:eastAsia="id-ID"/>
        </w:rPr>
        <w:t xml:space="preserve"> dalam muwujudkan peningkatan capaian kinerja yang lebih baik dimasa mendatang</w:t>
      </w:r>
      <w:r>
        <w:rPr>
          <w:rFonts w:ascii="Bookman Old Style" w:hAnsi="Bookman Old Style" w:cs="Calibri"/>
          <w:color w:val="000000"/>
          <w:sz w:val="24"/>
          <w:szCs w:val="24"/>
          <w:lang w:val="id-ID" w:eastAsia="id-ID"/>
        </w:rPr>
        <w:t xml:space="preserve"> akan sangat ditentukan oleh kapasitas dan kualitas</w:t>
      </w:r>
      <w:r>
        <w:rPr>
          <w:rFonts w:ascii="Bookman Old Style" w:hAnsi="Bookman Old Style" w:cs="Calibri"/>
          <w:color w:val="000000"/>
          <w:sz w:val="24"/>
          <w:szCs w:val="24"/>
          <w:lang w:eastAsia="id-ID"/>
        </w:rPr>
        <w:t xml:space="preserve"> </w:t>
      </w:r>
      <w:r>
        <w:rPr>
          <w:rFonts w:ascii="Bookman Old Style" w:hAnsi="Bookman Old Style" w:cs="Calibri"/>
          <w:color w:val="000000"/>
          <w:sz w:val="24"/>
          <w:szCs w:val="24"/>
          <w:lang w:val="id-ID" w:eastAsia="id-ID"/>
        </w:rPr>
        <w:t>kinerja pimpinan dan jajaran pelaksana serta partisipasi aktif dari masyarakat.</w:t>
      </w:r>
    </w:p>
    <w:p>
      <w:pPr>
        <w:tabs>
          <w:tab w:val="left" w:pos="1170"/>
        </w:tabs>
        <w:autoSpaceDE w:val="0"/>
        <w:autoSpaceDN w:val="0"/>
        <w:adjustRightInd w:val="0"/>
        <w:spacing w:after="0" w:line="360" w:lineRule="auto"/>
        <w:ind w:firstLine="720"/>
        <w:jc w:val="both"/>
        <w:rPr>
          <w:rFonts w:ascii="Bookman Old Style" w:hAnsi="Bookman Old Style" w:eastAsia="Calibri" w:cs="Calibri"/>
          <w:color w:val="000000"/>
          <w:sz w:val="24"/>
          <w:szCs w:val="24"/>
          <w:lang w:val="id-ID" w:eastAsia="id-ID"/>
        </w:rPr>
      </w:pPr>
      <w:r>
        <w:rPr>
          <w:rFonts w:ascii="Bookman Old Style" w:hAnsi="Bookman Old Style" w:eastAsia="Times New Roman" w:cs="Tahoma"/>
          <w:color w:val="000000" w:themeColor="text1"/>
          <w:sz w:val="24"/>
          <w:szCs w:val="24"/>
          <w:lang w:eastAsia="id-ID"/>
          <w14:textFill>
            <w14:solidFill>
              <w14:schemeClr w14:val="tx1"/>
            </w14:solidFill>
          </w14:textFill>
        </w:rPr>
        <w:tab/>
      </w:r>
      <w:r>
        <w:rPr>
          <w:rFonts w:ascii="Bookman Old Style" w:hAnsi="Bookman Old Style" w:eastAsia="Times New Roman" w:cs="Tahoma"/>
          <w:color w:val="000000" w:themeColor="text1"/>
          <w:sz w:val="24"/>
          <w:szCs w:val="24"/>
          <w:lang w:eastAsia="id-ID"/>
          <w14:textFill>
            <w14:solidFill>
              <w14:schemeClr w14:val="tx1"/>
            </w14:solidFill>
          </w14:textFill>
        </w:rPr>
        <w:t>Dan pembiayaan yang akan digunakan dalam rangka merealisasikan program dan kegiatan dalam Renstra Dinas Perdagangan, Koperasi dan Usaha Kecil dan Menengah Kabupaten Kepulauan Selayar Tahun 2021-2026 berasal dari Anggaran Pendapatan dan Belanja Negara (APBN) dan Anggaran Pendapatan dan Belanja Daerah (APBD) Kabupaten Kepulauan Selayar.</w:t>
      </w:r>
    </w:p>
    <w:p>
      <w:pPr>
        <w:autoSpaceDE w:val="0"/>
        <w:autoSpaceDN w:val="0"/>
        <w:adjustRightInd w:val="0"/>
        <w:spacing w:after="0" w:line="360" w:lineRule="auto"/>
        <w:ind w:firstLine="1134"/>
        <w:jc w:val="both"/>
        <w:rPr>
          <w:rFonts w:ascii="Bookman Old Style" w:hAnsi="Bookman Old Style" w:eastAsia="Calibri" w:cs="Calibri"/>
          <w:sz w:val="24"/>
          <w:szCs w:val="20"/>
        </w:rPr>
      </w:pPr>
      <w:r>
        <w:rPr>
          <w:rFonts w:ascii="Bookman Old Style" w:hAnsi="Bookman Old Style" w:eastAsia="Times New Roman" w:cs="Times New Roman"/>
          <w:sz w:val="24"/>
          <w:szCs w:val="20"/>
        </w:rPr>
        <w:t xml:space="preserve">Sementara itu, untuk  evaluasi dan pemantauan pelaksanaan Renstra akan dilakukan oleh Kepala Dinas </w:t>
      </w:r>
      <w:r>
        <w:rPr>
          <w:rFonts w:ascii="Bookman Old Style" w:hAnsi="Bookman Old Style" w:eastAsia="Times New Roman" w:cs="Tahoma"/>
          <w:color w:val="000000" w:themeColor="text1"/>
          <w:sz w:val="24"/>
          <w:szCs w:val="20"/>
          <w14:textFill>
            <w14:solidFill>
              <w14:schemeClr w14:val="tx1"/>
            </w14:solidFill>
          </w14:textFill>
        </w:rPr>
        <w:t>Perdagangan, Koperasi Usaha Kecil dan Menengah</w:t>
      </w:r>
      <w:r>
        <w:rPr>
          <w:rFonts w:ascii="Bookman Old Style" w:hAnsi="Bookman Old Style" w:eastAsia="Times New Roman" w:cs="Times New Roman"/>
          <w:sz w:val="24"/>
          <w:szCs w:val="20"/>
        </w:rPr>
        <w:t xml:space="preserve"> dan Kepala Badan Perencanaan Pembangunan, penelitian dan Pengembangan Kabupaten Kepulauan Selayar.</w:t>
      </w:r>
    </w:p>
    <w:p>
      <w:pPr>
        <w:tabs>
          <w:tab w:val="left" w:pos="1170"/>
        </w:tabs>
        <w:autoSpaceDE w:val="0"/>
        <w:autoSpaceDN w:val="0"/>
        <w:adjustRightInd w:val="0"/>
        <w:spacing w:after="0" w:line="360" w:lineRule="auto"/>
        <w:ind w:firstLine="720"/>
        <w:jc w:val="both"/>
        <w:rPr>
          <w:rFonts w:ascii="Bookman Old Style" w:hAnsi="Bookman Old Style" w:eastAsia="Times New Roman" w:cs="Tahoma"/>
          <w:color w:val="000000" w:themeColor="text1"/>
          <w:sz w:val="14"/>
          <w:szCs w:val="24"/>
          <w:lang w:eastAsia="id-ID"/>
          <w14:textFill>
            <w14:solidFill>
              <w14:schemeClr w14:val="tx1"/>
            </w14:solidFill>
          </w14:textFill>
        </w:rPr>
      </w:pPr>
    </w:p>
    <w:p>
      <w:pPr>
        <w:tabs>
          <w:tab w:val="left" w:pos="1170"/>
        </w:tabs>
        <w:spacing w:after="0" w:line="360" w:lineRule="auto"/>
        <w:jc w:val="both"/>
        <w:rPr>
          <w:rFonts w:ascii="Bookman Old Style" w:hAnsi="Bookman Old Style" w:eastAsia="Times New Roman" w:cs="Tahoma"/>
          <w:sz w:val="24"/>
          <w:szCs w:val="24"/>
        </w:rPr>
      </w:pP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ab/>
      </w:r>
      <w:r>
        <w:rPr>
          <w:rFonts w:ascii="Bookman Old Style" w:hAnsi="Bookman Old Style" w:eastAsia="Times New Roman" w:cs="Tahoma"/>
          <w:color w:val="000000" w:themeColor="text1"/>
          <w:sz w:val="24"/>
          <w:szCs w:val="24"/>
          <w14:textFill>
            <w14:solidFill>
              <w14:schemeClr w14:val="tx1"/>
            </w14:solidFill>
          </w14:textFill>
        </w:rPr>
        <w:t xml:space="preserve">     </w:t>
      </w:r>
      <w:r>
        <w:rPr>
          <w:rFonts w:ascii="Bookman Old Style" w:hAnsi="Bookman Old Style" w:eastAsia="Times New Roman" w:cs="Tahoma"/>
          <w:sz w:val="24"/>
          <w:szCs w:val="24"/>
        </w:rPr>
        <w:t xml:space="preserve">Benteng, </w:t>
      </w:r>
    </w:p>
    <w:tbl>
      <w:tblPr>
        <w:tblStyle w:val="4"/>
        <w:tblpPr w:leftFromText="180" w:rightFromText="180" w:vertAnchor="text" w:horzAnchor="page" w:tblpX="6329" w:tblpY="2"/>
        <w:tblW w:w="4514" w:type="dxa"/>
        <w:tblInd w:w="0" w:type="dxa"/>
        <w:tblLayout w:type="autofit"/>
        <w:tblCellMar>
          <w:top w:w="0" w:type="dxa"/>
          <w:left w:w="108" w:type="dxa"/>
          <w:bottom w:w="0" w:type="dxa"/>
          <w:right w:w="108" w:type="dxa"/>
        </w:tblCellMar>
      </w:tblPr>
      <w:tblGrid>
        <w:gridCol w:w="4514"/>
      </w:tblGrid>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b/>
                <w:bCs/>
                <w:color w:val="000000"/>
                <w:sz w:val="24"/>
                <w:szCs w:val="24"/>
              </w:rPr>
            </w:pPr>
            <w:r>
              <w:rPr>
                <w:rFonts w:ascii="Bookman Old Style" w:hAnsi="Bookman Old Style" w:eastAsia="Times New Roman" w:cs="Tahoma"/>
                <w:b/>
                <w:bCs/>
                <w:color w:val="000000"/>
                <w:sz w:val="24"/>
                <w:szCs w:val="24"/>
              </w:rPr>
              <w:t xml:space="preserve">KEPALA DINAS </w:t>
            </w: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24"/>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8"/>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 w:val="14"/>
                <w:szCs w:val="24"/>
              </w:rPr>
            </w:pPr>
          </w:p>
          <w:p>
            <w:pPr>
              <w:spacing w:after="0" w:line="240" w:lineRule="auto"/>
              <w:rPr>
                <w:rFonts w:ascii="Bookman Old Style" w:hAnsi="Bookman Old Style" w:eastAsia="Times New Roman" w:cs="Tahoma"/>
                <w:color w:val="000000"/>
                <w:sz w:val="14"/>
                <w:szCs w:val="24"/>
              </w:rPr>
            </w:pPr>
          </w:p>
          <w:p>
            <w:pPr>
              <w:spacing w:after="0" w:line="240" w:lineRule="auto"/>
              <w:rPr>
                <w:rFonts w:ascii="Bookman Old Style" w:hAnsi="Bookman Old Style" w:eastAsia="Times New Roman" w:cs="Tahoma"/>
                <w:color w:val="000000"/>
                <w:sz w:val="14"/>
                <w:szCs w:val="24"/>
              </w:rPr>
            </w:pPr>
          </w:p>
        </w:tc>
      </w:tr>
      <w:tr>
        <w:tblPrEx>
          <w:tblCellMar>
            <w:top w:w="0" w:type="dxa"/>
            <w:left w:w="108" w:type="dxa"/>
            <w:bottom w:w="0" w:type="dxa"/>
            <w:right w:w="108" w:type="dxa"/>
          </w:tblCellMar>
        </w:tblPrEx>
        <w:trPr>
          <w:trHeight w:val="321"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b/>
                <w:bCs/>
                <w:color w:val="000000"/>
                <w:sz w:val="24"/>
                <w:szCs w:val="24"/>
                <w:u w:val="single"/>
              </w:rPr>
            </w:pPr>
            <w:r>
              <w:rPr>
                <w:rFonts w:ascii="Bookman Old Style" w:hAnsi="Bookman Old Style" w:eastAsia="Times New Roman" w:cs="Tahoma"/>
                <w:b/>
                <w:bCs/>
                <w:color w:val="000000"/>
                <w:sz w:val="24"/>
                <w:szCs w:val="24"/>
                <w:u w:val="single"/>
              </w:rPr>
              <w:t>ANDI ABDURRAHMAN, S.E., M.Si</w:t>
            </w:r>
          </w:p>
        </w:tc>
      </w:tr>
      <w:tr>
        <w:tblPrEx>
          <w:tblCellMar>
            <w:top w:w="0" w:type="dxa"/>
            <w:left w:w="108" w:type="dxa"/>
            <w:bottom w:w="0" w:type="dxa"/>
            <w:right w:w="108" w:type="dxa"/>
          </w:tblCellMar>
        </w:tblPrEx>
        <w:trPr>
          <w:trHeight w:val="289"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Cs w:val="24"/>
              </w:rPr>
            </w:pPr>
            <w:r>
              <w:rPr>
                <w:rFonts w:ascii="Bookman Old Style" w:hAnsi="Bookman Old Style" w:eastAsia="Times New Roman" w:cs="Tahoma"/>
                <w:color w:val="000000"/>
                <w:szCs w:val="24"/>
              </w:rPr>
              <w:t>Pangkat : Pembina Utama Muda</w:t>
            </w:r>
          </w:p>
        </w:tc>
      </w:tr>
      <w:tr>
        <w:tblPrEx>
          <w:tblCellMar>
            <w:top w:w="0" w:type="dxa"/>
            <w:left w:w="108" w:type="dxa"/>
            <w:bottom w:w="0" w:type="dxa"/>
            <w:right w:w="108" w:type="dxa"/>
          </w:tblCellMar>
        </w:tblPrEx>
        <w:trPr>
          <w:trHeight w:val="289" w:hRule="atLeast"/>
        </w:trPr>
        <w:tc>
          <w:tcPr>
            <w:tcW w:w="4514" w:type="dxa"/>
            <w:tcBorders>
              <w:top w:val="nil"/>
              <w:left w:val="nil"/>
              <w:bottom w:val="nil"/>
              <w:right w:val="nil"/>
            </w:tcBorders>
            <w:shd w:val="clear" w:color="auto" w:fill="auto"/>
            <w:noWrap/>
            <w:vAlign w:val="bottom"/>
          </w:tcPr>
          <w:p>
            <w:pPr>
              <w:spacing w:after="0" w:line="240" w:lineRule="auto"/>
              <w:rPr>
                <w:rFonts w:ascii="Bookman Old Style" w:hAnsi="Bookman Old Style" w:eastAsia="Times New Roman" w:cs="Tahoma"/>
                <w:color w:val="000000"/>
                <w:szCs w:val="24"/>
              </w:rPr>
            </w:pPr>
            <w:r>
              <w:rPr>
                <w:rFonts w:ascii="Bookman Old Style" w:hAnsi="Bookman Old Style" w:eastAsia="Times New Roman" w:cs="Tahoma"/>
                <w:color w:val="000000"/>
                <w:szCs w:val="24"/>
              </w:rPr>
              <w:t xml:space="preserve">NIP. </w:t>
            </w:r>
            <w:r>
              <w:rPr>
                <w:rFonts w:ascii="Bookman Old Style" w:hAnsi="Bookman Old Style" w:eastAsia="Times New Roman" w:cs="Tahoma"/>
                <w:szCs w:val="24"/>
              </w:rPr>
              <w:t xml:space="preserve"> 19670526 199703 1 005</w:t>
            </w:r>
          </w:p>
        </w:tc>
      </w:tr>
    </w:tbl>
    <w:p>
      <w:pPr>
        <w:tabs>
          <w:tab w:val="left" w:pos="4536"/>
          <w:tab w:val="left" w:pos="8050"/>
        </w:tabs>
        <w:spacing w:after="0" w:line="240" w:lineRule="auto"/>
        <w:rPr>
          <w:rFonts w:ascii="Bookman Old Style" w:hAnsi="Bookman Old Style" w:eastAsia="Times New Roman" w:cs="Tahoma"/>
          <w:color w:val="000000" w:themeColor="text1"/>
          <w:sz w:val="24"/>
          <w:szCs w:val="24"/>
          <w14:textFill>
            <w14:solidFill>
              <w14:schemeClr w14:val="tx1"/>
            </w14:solidFill>
          </w14:textFill>
        </w:rPr>
      </w:pPr>
      <w:r>
        <w:rPr>
          <w:rFonts w:ascii="Bookman Old Style" w:hAnsi="Bookman Old Style" w:eastAsia="Times New Roman" w:cs="Tahoma"/>
          <w:color w:val="000000" w:themeColor="text1"/>
          <w:sz w:val="24"/>
          <w:szCs w:val="24"/>
          <w:lang w:val="en-GB"/>
          <w14:textFill>
            <w14:solidFill>
              <w14:schemeClr w14:val="tx1"/>
            </w14:solidFill>
          </w14:textFill>
        </w:rPr>
        <w:tab/>
      </w:r>
    </w:p>
    <w:p>
      <w:pPr>
        <w:tabs>
          <w:tab w:val="left" w:pos="8050"/>
        </w:tabs>
        <w:spacing w:after="0" w:line="240" w:lineRule="auto"/>
        <w:jc w:val="right"/>
        <w:rPr>
          <w:rFonts w:ascii="Bookman Old Style" w:hAnsi="Bookman Old Style" w:eastAsia="Times New Roman" w:cs="Tahoma"/>
          <w:color w:val="000000" w:themeColor="text1"/>
          <w:sz w:val="24"/>
          <w:szCs w:val="24"/>
          <w:lang w:val="en-GB"/>
          <w14:textFill>
            <w14:solidFill>
              <w14:schemeClr w14:val="tx1"/>
            </w14:solidFill>
          </w14:textFill>
        </w:rPr>
      </w:pPr>
    </w:p>
    <w:p>
      <w:pPr>
        <w:tabs>
          <w:tab w:val="left" w:pos="8050"/>
        </w:tabs>
        <w:spacing w:after="0" w:line="240" w:lineRule="auto"/>
        <w:jc w:val="right"/>
        <w:rPr>
          <w:rFonts w:ascii="Bookman Old Style" w:hAnsi="Bookman Old Style" w:eastAsia="Times New Roman" w:cs="Tahoma"/>
          <w:color w:val="000000" w:themeColor="text1"/>
          <w:sz w:val="24"/>
          <w:szCs w:val="24"/>
          <w:lang w:val="en-GB"/>
          <w14:textFill>
            <w14:solidFill>
              <w14:schemeClr w14:val="tx1"/>
            </w14:solidFill>
          </w14:textFill>
        </w:rPr>
      </w:pPr>
    </w:p>
    <w:p>
      <w:pPr>
        <w:spacing w:after="0" w:line="240" w:lineRule="auto"/>
        <w:rPr>
          <w:rFonts w:ascii="Bookman Old Style" w:hAnsi="Bookman Old Style" w:eastAsia="Times New Roman" w:cs="Tahoma"/>
          <w:sz w:val="24"/>
          <w:szCs w:val="24"/>
          <w:lang w:val="en-GB"/>
        </w:rPr>
      </w:pPr>
    </w:p>
    <w:p>
      <w:pPr>
        <w:spacing w:after="0" w:line="240" w:lineRule="auto"/>
        <w:rPr>
          <w:rFonts w:ascii="Bookman Old Style" w:hAnsi="Bookman Old Style" w:eastAsia="Times New Roman" w:cs="Tahoma"/>
          <w:sz w:val="24"/>
          <w:szCs w:val="24"/>
          <w:lang w:val="en-GB"/>
        </w:rPr>
      </w:pPr>
    </w:p>
    <w:p>
      <w:pPr>
        <w:spacing w:after="0" w:line="240" w:lineRule="auto"/>
        <w:jc w:val="right"/>
        <w:rPr>
          <w:rFonts w:ascii="Bookman Old Style" w:hAnsi="Bookman Old Style" w:eastAsia="Times New Roman" w:cs="Tahoma"/>
          <w:sz w:val="24"/>
          <w:szCs w:val="24"/>
          <w:lang w:val="en-GB"/>
        </w:rPr>
      </w:pPr>
    </w:p>
    <w:sectPr>
      <w:pgSz w:w="12240" w:h="20160"/>
      <w:pgMar w:top="1134" w:right="1134" w:bottom="2098" w:left="1701" w:header="720" w:footer="10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Adobe Gothic Std B">
    <w:altName w:val="Yu Gothic"/>
    <w:panose1 w:val="00000000000000000000"/>
    <w:charset w:val="80"/>
    <w:family w:val="swiss"/>
    <w:pitch w:val="default"/>
    <w:sig w:usb0="00000000" w:usb1="00000000" w:usb2="00000010" w:usb3="00000000" w:csb0="002A0005" w:csb1="00000000"/>
  </w:font>
  <w:font w:name="Bookman Old Style">
    <w:panose1 w:val="020506040505050202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Pristina">
    <w:panose1 w:val="03060402040406080204"/>
    <w:charset w:val="00"/>
    <w:family w:val="script"/>
    <w:pitch w:val="default"/>
    <w:sig w:usb0="00000003" w:usb1="00000000" w:usb2="00000000" w:usb3="00000000" w:csb0="20000001" w:csb1="00000000"/>
  </w:font>
  <w:font w:name="Mistral">
    <w:panose1 w:val="03090702030407020403"/>
    <w:charset w:val="00"/>
    <w:family w:val="script"/>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00"/>
    <w:family w:val="swiss"/>
    <w:pitch w:val="default"/>
    <w:sig w:usb0="00000287" w:usb1="00000800" w:usb2="00000000" w:usb3="00000000" w:csb0="2000009F" w:csb1="DFD7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ascii="Pristina" w:hAnsi="Pristina"/>
        <w:sz w:val="28"/>
        <w:szCs w:val="22"/>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nZxgDHAIAAFYEAAAO&#10;AAAAAAAAAAEAIAAAAB8BAABkcnMvZTJvRG9jLnhtbFBLBQYAAAAABgAGAFkBAACt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rFonts w:hint="default" w:ascii="Pristina" w:hAnsi="Pristina"/>
        <w:sz w:val="28"/>
        <w:szCs w:val="22"/>
        <w:lang w:val="en-US"/>
      </w:rPr>
      <w:tab/>
    </w:r>
    <w:r>
      <w:rPr>
        <w:rFonts w:hint="default" w:ascii="Pristina" w:hAnsi="Pristina"/>
        <w:sz w:val="28"/>
        <w:szCs w:val="22"/>
        <w:lang w:val="en-US"/>
      </w:rPr>
      <w:tab/>
    </w:r>
    <w:r>
      <w:rPr>
        <w:rFonts w:hint="default" w:ascii="Pristina" w:hAnsi="Pristina"/>
        <w:sz w:val="28"/>
        <w:szCs w:val="22"/>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fldChar w:fldCharType="end"/>
    </w:r>
  </w:p>
  <w:p>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3189136"/>
    </w:sdtPr>
    <w:sdtContent>
      <w:p>
        <w:pPr>
          <w:pStyle w:val="8"/>
          <w:tabs>
            <w:tab w:val="left" w:pos="8681"/>
            <w:tab w:val="right" w:pos="9405"/>
          </w:tabs>
          <w:jc w:val="left"/>
        </w:pPr>
        <w:r>
          <w:tab/>
        </w:r>
        <w:r>
          <w:tab/>
        </w:r>
        <w:r>
          <w:tab/>
        </w:r>
        <w:r>
          <w:tab/>
        </w:r>
        <w:r>
          <w:fldChar w:fldCharType="begin"/>
        </w:r>
        <w:r>
          <w:instrText xml:space="preserve"> PAGE   \* MERGEFORMAT </w:instrText>
        </w:r>
        <w:r>
          <w:fldChar w:fldCharType="separate"/>
        </w:r>
        <w:r>
          <w:t>24</w:t>
        </w:r>
        <w:r>
          <w:fldChar w:fldCharType="end"/>
        </w:r>
      </w:p>
    </w:sdtContent>
  </w:sdt>
  <w:p>
    <w:pPr>
      <w:pStyle w:val="8"/>
      <w:jc w:val="center"/>
      <w:rPr>
        <w:rFonts w:ascii="Pristina" w:hAnsi="Pristina"/>
        <w:sz w:val="28"/>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fldChar w:fldCharType="end"/>
    </w:r>
  </w:p>
  <w:p>
    <w:pPr>
      <w:pStyle w:val="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6635384"/>
    </w:sdtPr>
    <w:sdtContent>
      <w:p>
        <w:pPr>
          <w:pStyle w:val="8"/>
          <w:jc w:val="right"/>
        </w:pPr>
        <w:r>
          <w:fldChar w:fldCharType="begin"/>
        </w:r>
        <w:r>
          <w:instrText xml:space="preserve"> PAGE   \* MERGEFORMAT </w:instrText>
        </w:r>
        <w:r>
          <w:fldChar w:fldCharType="separate"/>
        </w:r>
        <w:r>
          <w:t>25</w:t>
        </w:r>
        <w:r>
          <w:fldChar w:fldCharType="end"/>
        </w:r>
      </w:p>
    </w:sdtContent>
  </w:sdt>
  <w:p>
    <w:pPr>
      <w:pStyle w:val="8"/>
      <w:jc w:val="center"/>
      <w:rPr>
        <w:rFonts w:ascii="Pristina" w:hAnsi="Pristina"/>
        <w:sz w:val="28"/>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9079226"/>
    </w:sdtPr>
    <w:sdtContent>
      <w:p>
        <w:pPr>
          <w:pStyle w:val="8"/>
          <w:jc w:val="right"/>
        </w:pPr>
        <w:r>
          <w:fldChar w:fldCharType="begin"/>
        </w:r>
        <w:r>
          <w:instrText xml:space="preserve"> PAGE   \* MERGEFORMAT </w:instrText>
        </w:r>
        <w:r>
          <w:fldChar w:fldCharType="separate"/>
        </w:r>
        <w:r>
          <w:t>227</w:t>
        </w:r>
        <w:r>
          <w:fldChar w:fldCharType="end"/>
        </w:r>
      </w:p>
    </w:sdtContent>
  </w:sdt>
  <w:p>
    <w:pPr>
      <w:pStyle w:val="8"/>
      <w:tabs>
        <w:tab w:val="left" w:pos="12660"/>
      </w:tabs>
      <w:jc w:val="left"/>
      <w:rPr>
        <w:rFonts w:ascii="Pristina" w:hAnsi="Pristina"/>
        <w:sz w:val="28"/>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fldChar w:fldCharType="end"/>
    </w:r>
  </w:p>
  <w:p>
    <w:pPr>
      <w:pStyle w:val="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760085" cy="6897370"/>
          <wp:effectExtent l="0" t="0" r="12065" b="17780"/>
          <wp:wrapNone/>
          <wp:docPr id="25" name="WordPictureWatermark20987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PictureWatermark2098777" descr="3"/>
                  <pic:cNvPicPr>
                    <a:picLocks noChangeAspect="1"/>
                  </pic:cNvPicPr>
                </pic:nvPicPr>
                <pic:blipFill>
                  <a:blip r:embed="rId1">
                    <a:lum bright="70001" contrast="-70000"/>
                  </a:blip>
                  <a:stretch>
                    <a:fillRect/>
                  </a:stretch>
                </pic:blipFill>
                <pic:spPr>
                  <a:xfrm>
                    <a:off x="0" y="0"/>
                    <a:ext cx="5760085" cy="689737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678"/>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1"/>
      </w:rPr>
    </w:pPr>
    <w:r>
      <w:pict>
        <v:shape id="WordPictureWatermark2027489" o:spid="_x0000_s2078" o:spt="75" type="#_x0000_t75" style="position:absolute;left:0pt;height:543.1pt;width:453.5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3"/>
          <o:lock v:ext="edit" aspectratio="t"/>
        </v:shape>
      </w:pict>
    </w:r>
    <w:r>
      <w:rPr>
        <w:rStyle w:val="11"/>
      </w:rPr>
      <w:fldChar w:fldCharType="begin"/>
    </w:r>
    <w:r>
      <w:rPr>
        <w:rStyle w:val="11"/>
      </w:rPr>
      <w:instrText xml:space="preserve">PAGE  </w:instrText>
    </w:r>
    <w:r>
      <w:rPr>
        <w:rStyle w:val="11"/>
      </w:rPr>
      <w:fldChar w:fldCharType="separate"/>
    </w:r>
    <w:r>
      <w:rPr>
        <w:rStyle w:val="11"/>
      </w:rPr>
      <w:fldChar w:fldCharType="end"/>
    </w:r>
  </w:p>
  <w:p>
    <w:pPr>
      <w:pStyle w:val="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2027488" o:spid="_x0000_s2077" o:spt="75" type="#_x0000_t75" style="position:absolute;left:0pt;height:543.1pt;width:453.5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gain="19661f" blacklevel="22938f" o:title="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1"/>
      </w:rPr>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60085" cy="6897370"/>
          <wp:effectExtent l="0" t="0" r="12065" b="17780"/>
          <wp:wrapNone/>
          <wp:docPr id="24" name="WordPictureWatermark20987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PictureWatermark2098776" descr="3"/>
                  <pic:cNvPicPr>
                    <a:picLocks noChangeAspect="1"/>
                  </pic:cNvPicPr>
                </pic:nvPicPr>
                <pic:blipFill>
                  <a:blip r:embed="rId1">
                    <a:lum bright="70001" contrast="-70000"/>
                  </a:blip>
                  <a:stretch>
                    <a:fillRect/>
                  </a:stretch>
                </pic:blipFill>
                <pic:spPr>
                  <a:xfrm>
                    <a:off x="0" y="0"/>
                    <a:ext cx="5760085" cy="6897370"/>
                  </a:xfrm>
                  <a:prstGeom prst="rect">
                    <a:avLst/>
                  </a:prstGeom>
                  <a:noFill/>
                  <a:ln>
                    <a:noFill/>
                  </a:ln>
                </pic:spPr>
              </pic:pic>
            </a:graphicData>
          </a:graphic>
        </wp:anchor>
      </w:drawing>
    </w:r>
    <w:r>
      <w:rPr>
        <w:rStyle w:val="11"/>
      </w:rPr>
      <w:fldChar w:fldCharType="begin"/>
    </w:r>
    <w:r>
      <w:rPr>
        <w:rStyle w:val="11"/>
      </w:rPr>
      <w:instrText xml:space="preserve">PAGE  </w:instrText>
    </w:r>
    <w:r>
      <w:rPr>
        <w:rStyle w:val="11"/>
      </w:rPr>
      <w:fldChar w:fldCharType="separate"/>
    </w:r>
    <w:r>
      <w:rPr>
        <w:rStyle w:val="11"/>
      </w:rPr>
      <w:fldChar w:fldCharType="end"/>
    </w:r>
  </w:p>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60085" cy="6897370"/>
          <wp:effectExtent l="0" t="0" r="12065" b="17780"/>
          <wp:wrapNone/>
          <wp:docPr id="23" name="WordPictureWatermark20987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2098775" descr="3"/>
                  <pic:cNvPicPr>
                    <a:picLocks noChangeAspect="1"/>
                  </pic:cNvPicPr>
                </pic:nvPicPr>
                <pic:blipFill>
                  <a:blip r:embed="rId1">
                    <a:lum bright="70001" contrast="-70000"/>
                  </a:blip>
                  <a:stretch>
                    <a:fillRect/>
                  </a:stretch>
                </pic:blipFill>
                <pic:spPr>
                  <a:xfrm>
                    <a:off x="0" y="0"/>
                    <a:ext cx="5760085" cy="689737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945"/>
      </w:tabs>
    </w:pPr>
    <w:r>
      <w:tab/>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1"/>
      </w:rPr>
    </w:pPr>
    <w:r>
      <w:pict>
        <v:shape id="WordPictureWatermark2027483" o:spid="_x0000_s2049" o:spt="75" type="#_x0000_t75" style="position:absolute;left:0pt;height:543.1pt;width:453.5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3"/>
          <o:lock v:ext="edit" aspectratio="t"/>
        </v:shape>
      </w:pict>
    </w:r>
    <w:r>
      <w:rPr>
        <w:rStyle w:val="11"/>
      </w:rPr>
      <w:fldChar w:fldCharType="begin"/>
    </w:r>
    <w:r>
      <w:rPr>
        <w:rStyle w:val="11"/>
      </w:rPr>
      <w:instrText xml:space="preserve">PAGE  </w:instrText>
    </w:r>
    <w:r>
      <w:rPr>
        <w:rStyle w:val="11"/>
      </w:rPr>
      <w:fldChar w:fldCharType="separate"/>
    </w:r>
    <w:r>
      <w:rPr>
        <w:rStyle w:val="11"/>
      </w:rPr>
      <w:fldChar w:fldCharType="end"/>
    </w:r>
  </w:p>
  <w:p>
    <w:pPr>
      <w:pStyle w:val="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2027482" o:spid="_x0000_s2073" o:spt="75" type="#_x0000_t75" style="position:absolute;left:0pt;height:543.1pt;width:453.5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3"/>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2027486" o:spid="_x0000_s2076" o:spt="75" type="#_x0000_t75" style="position:absolute;left:0pt;height:543.1pt;width:453.5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3"/>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2027485" o:spid="_x0000_s2075" o:spt="75" type="#_x0000_t75" style="position:absolute;left:0pt;height:543.1pt;width:453.5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01ED067B"/>
    <w:multiLevelType w:val="multilevel"/>
    <w:tmpl w:val="01ED067B"/>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
    <w:nsid w:val="04833698"/>
    <w:multiLevelType w:val="multilevel"/>
    <w:tmpl w:val="04833698"/>
    <w:lvl w:ilvl="0" w:tentative="0">
      <w:start w:val="1"/>
      <w:numFmt w:val="decimal"/>
      <w:lvlText w:val="%1."/>
      <w:lvlJc w:val="left"/>
      <w:pPr>
        <w:tabs>
          <w:tab w:val="left" w:pos="720"/>
        </w:tabs>
        <w:ind w:left="720" w:hanging="360"/>
      </w:pPr>
      <w:rPr>
        <w:rFonts w:ascii="Tahoma" w:hAnsi="Tahoma" w:eastAsia="Times New Roman" w:cs="Tahoma"/>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5DF67CF"/>
    <w:multiLevelType w:val="multilevel"/>
    <w:tmpl w:val="05DF67CF"/>
    <w:lvl w:ilvl="0" w:tentative="0">
      <w:start w:val="1"/>
      <w:numFmt w:val="decimal"/>
      <w:lvlText w:val="%1."/>
      <w:lvlJc w:val="left"/>
      <w:pPr>
        <w:ind w:left="1080" w:hanging="360"/>
      </w:pPr>
      <w:rPr>
        <w:rFonts w:ascii="Bookman Old Style" w:hAnsi="Bookman Old Style" w:eastAsia="Times New Roman" w:cs="Tahoma"/>
        <w:b w:val="0"/>
      </w:rPr>
    </w:lvl>
    <w:lvl w:ilvl="1" w:tentative="0">
      <w:start w:val="1"/>
      <w:numFmt w:val="lowerLetter"/>
      <w:lvlText w:val="%2."/>
      <w:lvlJc w:val="left"/>
      <w:pPr>
        <w:ind w:left="1800" w:hanging="360"/>
      </w:pPr>
    </w:lvl>
    <w:lvl w:ilvl="2" w:tentative="0">
      <w:start w:val="1"/>
      <w:numFmt w:val="decimal"/>
      <w:lvlText w:val="(%3)"/>
      <w:lvlJc w:val="left"/>
      <w:pPr>
        <w:ind w:left="2700" w:hanging="360"/>
      </w:pPr>
      <w:rPr>
        <w:rFonts w:hint="default"/>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07A61E53"/>
    <w:multiLevelType w:val="multilevel"/>
    <w:tmpl w:val="07A61E53"/>
    <w:lvl w:ilvl="0" w:tentative="0">
      <w:start w:val="1"/>
      <w:numFmt w:val="decimal"/>
      <w:lvlText w:val="%1."/>
      <w:lvlJc w:val="left"/>
      <w:pPr>
        <w:ind w:left="1353" w:hanging="360"/>
      </w:pPr>
      <w:rPr>
        <w:rFonts w:ascii="Bookman Old Style" w:hAnsi="Bookman Old Style" w:eastAsia="Times New Roman" w:cs="Tahoma"/>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4">
    <w:nsid w:val="07EA5F8F"/>
    <w:multiLevelType w:val="multilevel"/>
    <w:tmpl w:val="07EA5F8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8123DDE"/>
    <w:multiLevelType w:val="multilevel"/>
    <w:tmpl w:val="08123DDE"/>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6">
    <w:nsid w:val="08AD0847"/>
    <w:multiLevelType w:val="multilevel"/>
    <w:tmpl w:val="08AD0847"/>
    <w:lvl w:ilvl="0" w:tentative="0">
      <w:start w:val="1"/>
      <w:numFmt w:val="decimal"/>
      <w:lvlText w:val="%1."/>
      <w:lvlJc w:val="left"/>
      <w:pPr>
        <w:tabs>
          <w:tab w:val="left" w:pos="720"/>
        </w:tabs>
        <w:ind w:left="720" w:hanging="360"/>
      </w:pPr>
      <w:rPr>
        <w:rFonts w:hint="default"/>
        <w:b w:val="0"/>
        <w:sz w:val="24"/>
      </w:rPr>
    </w:lvl>
    <w:lvl w:ilvl="1" w:tentative="0">
      <w:start w:val="2"/>
      <w:numFmt w:val="decimal"/>
      <w:isLgl/>
      <w:lvlText w:val="%1.%2."/>
      <w:lvlJc w:val="left"/>
      <w:pPr>
        <w:ind w:left="1080" w:hanging="720"/>
      </w:pPr>
      <w:rPr>
        <w:rFonts w:hint="default"/>
        <w:b/>
      </w:rPr>
    </w:lvl>
    <w:lvl w:ilvl="2" w:tentative="0">
      <w:start w:val="1"/>
      <w:numFmt w:val="decimal"/>
      <w:isLgl/>
      <w:lvlText w:val="%1.%2.%3."/>
      <w:lvlJc w:val="left"/>
      <w:pPr>
        <w:ind w:left="1440" w:hanging="1080"/>
      </w:pPr>
      <w:rPr>
        <w:rFonts w:hint="default"/>
        <w:b/>
      </w:rPr>
    </w:lvl>
    <w:lvl w:ilvl="3" w:tentative="0">
      <w:start w:val="1"/>
      <w:numFmt w:val="decimal"/>
      <w:isLgl/>
      <w:lvlText w:val="%1.%2.%3.%4."/>
      <w:lvlJc w:val="left"/>
      <w:pPr>
        <w:ind w:left="1440" w:hanging="1080"/>
      </w:pPr>
      <w:rPr>
        <w:rFonts w:hint="default"/>
        <w:b/>
      </w:rPr>
    </w:lvl>
    <w:lvl w:ilvl="4" w:tentative="0">
      <w:start w:val="1"/>
      <w:numFmt w:val="decimal"/>
      <w:isLgl/>
      <w:lvlText w:val="%1.%2.%3.%4.%5."/>
      <w:lvlJc w:val="left"/>
      <w:pPr>
        <w:ind w:left="1800" w:hanging="1440"/>
      </w:pPr>
      <w:rPr>
        <w:rFonts w:hint="default"/>
        <w:b/>
      </w:rPr>
    </w:lvl>
    <w:lvl w:ilvl="5" w:tentative="0">
      <w:start w:val="1"/>
      <w:numFmt w:val="decimal"/>
      <w:isLgl/>
      <w:lvlText w:val="%1.%2.%3.%4.%5.%6."/>
      <w:lvlJc w:val="left"/>
      <w:pPr>
        <w:ind w:left="2160" w:hanging="1800"/>
      </w:pPr>
      <w:rPr>
        <w:rFonts w:hint="default"/>
        <w:b/>
      </w:rPr>
    </w:lvl>
    <w:lvl w:ilvl="6" w:tentative="0">
      <w:start w:val="1"/>
      <w:numFmt w:val="decimal"/>
      <w:isLgl/>
      <w:lvlText w:val="%1.%2.%3.%4.%5.%6.%7."/>
      <w:lvlJc w:val="left"/>
      <w:pPr>
        <w:ind w:left="2160" w:hanging="1800"/>
      </w:pPr>
      <w:rPr>
        <w:rFonts w:hint="default"/>
        <w:b/>
      </w:rPr>
    </w:lvl>
    <w:lvl w:ilvl="7" w:tentative="0">
      <w:start w:val="1"/>
      <w:numFmt w:val="decimal"/>
      <w:isLgl/>
      <w:lvlText w:val="%1.%2.%3.%4.%5.%6.%7.%8."/>
      <w:lvlJc w:val="left"/>
      <w:pPr>
        <w:ind w:left="2520" w:hanging="2160"/>
      </w:pPr>
      <w:rPr>
        <w:rFonts w:hint="default"/>
        <w:b/>
      </w:rPr>
    </w:lvl>
    <w:lvl w:ilvl="8" w:tentative="0">
      <w:start w:val="1"/>
      <w:numFmt w:val="decimal"/>
      <w:isLgl/>
      <w:lvlText w:val="%1.%2.%3.%4.%5.%6.%7.%8.%9."/>
      <w:lvlJc w:val="left"/>
      <w:pPr>
        <w:ind w:left="2880" w:hanging="2520"/>
      </w:pPr>
      <w:rPr>
        <w:rFonts w:hint="default"/>
        <w:b/>
      </w:rPr>
    </w:lvl>
  </w:abstractNum>
  <w:abstractNum w:abstractNumId="7">
    <w:nsid w:val="0A480F7A"/>
    <w:multiLevelType w:val="multilevel"/>
    <w:tmpl w:val="0A480F7A"/>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8">
    <w:nsid w:val="0A8F51B9"/>
    <w:multiLevelType w:val="multilevel"/>
    <w:tmpl w:val="0A8F51B9"/>
    <w:lvl w:ilvl="0" w:tentative="0">
      <w:start w:val="1"/>
      <w:numFmt w:val="decimal"/>
      <w:lvlText w:val="%1."/>
      <w:lvlJc w:val="left"/>
      <w:pPr>
        <w:ind w:left="1494" w:hanging="360"/>
      </w:pPr>
      <w:rPr>
        <w:rFonts w:hint="default"/>
        <w:i w:val="0"/>
        <w:sz w:val="24"/>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9">
    <w:nsid w:val="0AEA5C44"/>
    <w:multiLevelType w:val="multilevel"/>
    <w:tmpl w:val="0AEA5C44"/>
    <w:lvl w:ilvl="0" w:tentative="0">
      <w:start w:val="1"/>
      <w:numFmt w:val="decimal"/>
      <w:lvlText w:val="%1."/>
      <w:lvlJc w:val="left"/>
      <w:pPr>
        <w:ind w:left="1080" w:hanging="360"/>
      </w:pPr>
      <w:rPr>
        <w:rFonts w:ascii="Bookman Old Style" w:hAnsi="Bookman Old Style" w:eastAsia="Times New Roman" w:cs="Tahoma"/>
        <w:b w:val="0"/>
      </w:rPr>
    </w:lvl>
    <w:lvl w:ilvl="1" w:tentative="0">
      <w:start w:val="1"/>
      <w:numFmt w:val="lowerLetter"/>
      <w:lvlText w:val="%2."/>
      <w:lvlJc w:val="left"/>
      <w:pPr>
        <w:ind w:left="1800" w:hanging="360"/>
      </w:pPr>
    </w:lvl>
    <w:lvl w:ilvl="2" w:tentative="0">
      <w:start w:val="1"/>
      <w:numFmt w:val="decimal"/>
      <w:lvlText w:val="(%3)"/>
      <w:lvlJc w:val="left"/>
      <w:pPr>
        <w:ind w:left="2700" w:hanging="360"/>
      </w:pPr>
      <w:rPr>
        <w:rFonts w:hint="default"/>
      </w:rPr>
    </w:lvl>
    <w:lvl w:ilvl="3" w:tentative="0">
      <w:start w:val="1"/>
      <w:numFmt w:val="decimal"/>
      <w:lvlText w:val="(%4)"/>
      <w:lvlJc w:val="left"/>
      <w:pPr>
        <w:ind w:left="3240" w:hanging="360"/>
      </w:pPr>
      <w:rPr>
        <w:rFonts w:hint="default"/>
      </w:rPr>
    </w:lvl>
    <w:lvl w:ilvl="4" w:tentative="0">
      <w:start w:val="1"/>
      <w:numFmt w:val="decimal"/>
      <w:lvlText w:val="%5."/>
      <w:lvlJc w:val="left"/>
      <w:pPr>
        <w:ind w:left="3960" w:hanging="360"/>
      </w:pPr>
      <w:rPr>
        <w:rFonts w:hint="default"/>
      </w:r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0B8C18FC"/>
    <w:multiLevelType w:val="multilevel"/>
    <w:tmpl w:val="0B8C18FC"/>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1">
    <w:nsid w:val="0BFC7D11"/>
    <w:multiLevelType w:val="multilevel"/>
    <w:tmpl w:val="0BFC7D11"/>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2">
    <w:nsid w:val="0EE34496"/>
    <w:multiLevelType w:val="multilevel"/>
    <w:tmpl w:val="0EE344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07174A3"/>
    <w:multiLevelType w:val="multilevel"/>
    <w:tmpl w:val="107174A3"/>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4">
    <w:nsid w:val="10954CFB"/>
    <w:multiLevelType w:val="multilevel"/>
    <w:tmpl w:val="10954CFB"/>
    <w:lvl w:ilvl="0" w:tentative="0">
      <w:start w:val="1"/>
      <w:numFmt w:val="decimal"/>
      <w:lvlText w:val="%1."/>
      <w:lvlJc w:val="left"/>
      <w:pPr>
        <w:ind w:left="928" w:hanging="360"/>
      </w:pPr>
      <w:rPr>
        <w:rFonts w:ascii="Bookman Old Style" w:hAnsi="Bookman Old Style" w:eastAsia="Times New Roman" w:cs="Tahoma"/>
        <w:b w:val="0"/>
      </w:rPr>
    </w:lvl>
    <w:lvl w:ilvl="1" w:tentative="0">
      <w:start w:val="2"/>
      <w:numFmt w:val="decimal"/>
      <w:isLgl/>
      <w:lvlText w:val="%1.%2."/>
      <w:lvlJc w:val="left"/>
      <w:pPr>
        <w:ind w:left="3240" w:hanging="720"/>
      </w:pPr>
      <w:rPr>
        <w:rFonts w:hint="default"/>
        <w:b/>
      </w:rPr>
    </w:lvl>
    <w:lvl w:ilvl="2" w:tentative="0">
      <w:start w:val="1"/>
      <w:numFmt w:val="decimal"/>
      <w:isLgl/>
      <w:lvlText w:val="%1.%2.%3."/>
      <w:lvlJc w:val="left"/>
      <w:pPr>
        <w:ind w:left="5192" w:hanging="720"/>
      </w:pPr>
      <w:rPr>
        <w:rFonts w:hint="default"/>
        <w:b/>
      </w:rPr>
    </w:lvl>
    <w:lvl w:ilvl="3" w:tentative="0">
      <w:start w:val="1"/>
      <w:numFmt w:val="decimal"/>
      <w:isLgl/>
      <w:lvlText w:val="%1.%2.%3.%4."/>
      <w:lvlJc w:val="left"/>
      <w:pPr>
        <w:ind w:left="7504" w:hanging="1080"/>
      </w:pPr>
      <w:rPr>
        <w:rFonts w:hint="default"/>
        <w:b/>
      </w:rPr>
    </w:lvl>
    <w:lvl w:ilvl="4" w:tentative="0">
      <w:start w:val="1"/>
      <w:numFmt w:val="decimal"/>
      <w:isLgl/>
      <w:lvlText w:val="%1.%2.%3.%4.%5."/>
      <w:lvlJc w:val="left"/>
      <w:pPr>
        <w:ind w:left="9816" w:hanging="1440"/>
      </w:pPr>
      <w:rPr>
        <w:rFonts w:hint="default"/>
        <w:b/>
      </w:rPr>
    </w:lvl>
    <w:lvl w:ilvl="5" w:tentative="0">
      <w:start w:val="1"/>
      <w:numFmt w:val="decimal"/>
      <w:isLgl/>
      <w:lvlText w:val="%1.%2.%3.%4.%5.%6."/>
      <w:lvlJc w:val="left"/>
      <w:pPr>
        <w:ind w:left="11768" w:hanging="1440"/>
      </w:pPr>
      <w:rPr>
        <w:rFonts w:hint="default"/>
        <w:b/>
      </w:rPr>
    </w:lvl>
    <w:lvl w:ilvl="6" w:tentative="0">
      <w:start w:val="1"/>
      <w:numFmt w:val="decimal"/>
      <w:isLgl/>
      <w:lvlText w:val="%1.%2.%3.%4.%5.%6.%7."/>
      <w:lvlJc w:val="left"/>
      <w:pPr>
        <w:ind w:left="14080" w:hanging="1800"/>
      </w:pPr>
      <w:rPr>
        <w:rFonts w:hint="default"/>
        <w:b/>
      </w:rPr>
    </w:lvl>
    <w:lvl w:ilvl="7" w:tentative="0">
      <w:start w:val="1"/>
      <w:numFmt w:val="decimal"/>
      <w:isLgl/>
      <w:lvlText w:val="%1.%2.%3.%4.%5.%6.%7.%8."/>
      <w:lvlJc w:val="left"/>
      <w:pPr>
        <w:ind w:left="16032" w:hanging="1800"/>
      </w:pPr>
      <w:rPr>
        <w:rFonts w:hint="default"/>
        <w:b/>
      </w:rPr>
    </w:lvl>
    <w:lvl w:ilvl="8" w:tentative="0">
      <w:start w:val="1"/>
      <w:numFmt w:val="decimal"/>
      <w:isLgl/>
      <w:lvlText w:val="%1.%2.%3.%4.%5.%6.%7.%8.%9."/>
      <w:lvlJc w:val="left"/>
      <w:pPr>
        <w:ind w:left="18344" w:hanging="2160"/>
      </w:pPr>
      <w:rPr>
        <w:rFonts w:hint="default"/>
        <w:b/>
      </w:rPr>
    </w:lvl>
  </w:abstractNum>
  <w:abstractNum w:abstractNumId="15">
    <w:nsid w:val="11052E3F"/>
    <w:multiLevelType w:val="multilevel"/>
    <w:tmpl w:val="11052E3F"/>
    <w:lvl w:ilvl="0" w:tentative="0">
      <w:start w:val="1"/>
      <w:numFmt w:val="decimal"/>
      <w:lvlText w:val="%1."/>
      <w:lvlJc w:val="left"/>
      <w:pPr>
        <w:tabs>
          <w:tab w:val="left" w:pos="720"/>
        </w:tabs>
        <w:ind w:left="720" w:hanging="360"/>
      </w:pPr>
      <w:rPr>
        <w:rFonts w:ascii="Tahoma" w:hAnsi="Tahoma" w:eastAsia="Times New Roman" w:cs="Tahoma"/>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110A6107"/>
    <w:multiLevelType w:val="multilevel"/>
    <w:tmpl w:val="110A610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116F71CD"/>
    <w:multiLevelType w:val="multilevel"/>
    <w:tmpl w:val="116F71C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3C7704D"/>
    <w:multiLevelType w:val="multilevel"/>
    <w:tmpl w:val="13C7704D"/>
    <w:lvl w:ilvl="0" w:tentative="0">
      <w:start w:val="1"/>
      <w:numFmt w:val="decimal"/>
      <w:lvlText w:val="%1)"/>
      <w:lvlJc w:val="left"/>
      <w:pPr>
        <w:ind w:left="1080" w:hanging="360"/>
      </w:pPr>
      <w:rPr>
        <w:rFonts w:hint="default" w:ascii="Tahoma" w:hAnsi="Tahoma" w:cs="Tahoma"/>
        <w:color w:val="000000" w:themeColor="dark1"/>
        <w:sz w:val="24"/>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145B28A7"/>
    <w:multiLevelType w:val="multilevel"/>
    <w:tmpl w:val="145B28A7"/>
    <w:lvl w:ilvl="0" w:tentative="0">
      <w:start w:val="1"/>
      <w:numFmt w:val="decimal"/>
      <w:lvlText w:val="%1."/>
      <w:lvlJc w:val="left"/>
      <w:pPr>
        <w:ind w:left="304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6382167"/>
    <w:multiLevelType w:val="multilevel"/>
    <w:tmpl w:val="16382167"/>
    <w:lvl w:ilvl="0" w:tentative="0">
      <w:start w:val="1"/>
      <w:numFmt w:val="decimal"/>
      <w:lvlText w:val="%1."/>
      <w:lvlJc w:val="left"/>
      <w:pPr>
        <w:ind w:left="23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63C23C4"/>
    <w:multiLevelType w:val="multilevel"/>
    <w:tmpl w:val="163C23C4"/>
    <w:lvl w:ilvl="0" w:tentative="0">
      <w:start w:val="1"/>
      <w:numFmt w:val="decimal"/>
      <w:lvlText w:val="%1."/>
      <w:lvlJc w:val="left"/>
      <w:pPr>
        <w:ind w:left="846" w:hanging="4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7821712"/>
    <w:multiLevelType w:val="multilevel"/>
    <w:tmpl w:val="17821712"/>
    <w:lvl w:ilvl="0" w:tentative="0">
      <w:start w:val="1"/>
      <w:numFmt w:val="lowerLetter"/>
      <w:lvlText w:val="%1."/>
      <w:lvlJc w:val="left"/>
      <w:pPr>
        <w:ind w:left="3600" w:hanging="360"/>
      </w:p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23">
    <w:nsid w:val="18872F7F"/>
    <w:multiLevelType w:val="multilevel"/>
    <w:tmpl w:val="18872F7F"/>
    <w:lvl w:ilvl="0" w:tentative="0">
      <w:start w:val="1"/>
      <w:numFmt w:val="decimal"/>
      <w:lvlText w:val="%1."/>
      <w:lvlJc w:val="left"/>
      <w:pPr>
        <w:ind w:left="720" w:hanging="360"/>
      </w:pPr>
      <w:rPr>
        <w:rFonts w:ascii="Bookman Old Style" w:hAnsi="Bookman Old Style" w:eastAsia="Times New Roman" w:cs="Tahoma"/>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8D72BCB"/>
    <w:multiLevelType w:val="multilevel"/>
    <w:tmpl w:val="18D72B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1AC119AE"/>
    <w:multiLevelType w:val="multilevel"/>
    <w:tmpl w:val="1AC119AE"/>
    <w:lvl w:ilvl="0" w:tentative="0">
      <w:start w:val="1"/>
      <w:numFmt w:val="decimal"/>
      <w:lvlText w:val="%1)"/>
      <w:lvlJc w:val="left"/>
      <w:pPr>
        <w:ind w:left="28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1B4E3155"/>
    <w:multiLevelType w:val="multilevel"/>
    <w:tmpl w:val="1B4E3155"/>
    <w:lvl w:ilvl="0" w:tentative="0">
      <w:start w:val="2"/>
      <w:numFmt w:val="decimal"/>
      <w:lvlText w:val="%1."/>
      <w:lvlJc w:val="left"/>
      <w:pPr>
        <w:ind w:left="450" w:hanging="450"/>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27">
    <w:nsid w:val="1BCA4143"/>
    <w:multiLevelType w:val="multilevel"/>
    <w:tmpl w:val="1BCA4143"/>
    <w:lvl w:ilvl="0" w:tentative="0">
      <w:start w:val="1"/>
      <w:numFmt w:val="decimal"/>
      <w:lvlText w:val="%1."/>
      <w:lvlJc w:val="left"/>
      <w:pPr>
        <w:ind w:left="720" w:hanging="360"/>
      </w:pPr>
      <w:rPr>
        <w:rFonts w:ascii="Arial" w:hAnsi="Arial" w:eastAsia="Times New Roman" w:cs="Arial"/>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8">
    <w:nsid w:val="1C715679"/>
    <w:multiLevelType w:val="multilevel"/>
    <w:tmpl w:val="1C715679"/>
    <w:lvl w:ilvl="0" w:tentative="0">
      <w:start w:val="1"/>
      <w:numFmt w:val="decimal"/>
      <w:lvlText w:val="%1."/>
      <w:lvlJc w:val="left"/>
      <w:pPr>
        <w:ind w:left="720" w:hanging="360"/>
      </w:pPr>
      <w:rPr>
        <w:rFonts w:hint="default" w:ascii="Tahoma" w:hAnsi="Tahoma" w:eastAsia="Times New Roman" w:cs="Tahom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rPr>
        <w:sz w:val="24"/>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1CAA60A2"/>
    <w:multiLevelType w:val="multilevel"/>
    <w:tmpl w:val="1CAA60A2"/>
    <w:lvl w:ilvl="0" w:tentative="0">
      <w:start w:val="1"/>
      <w:numFmt w:val="decimal"/>
      <w:lvlText w:val="%1."/>
      <w:lvlJc w:val="left"/>
      <w:pPr>
        <w:ind w:left="1204" w:hanging="495"/>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0">
    <w:nsid w:val="1E2659F3"/>
    <w:multiLevelType w:val="multilevel"/>
    <w:tmpl w:val="1E2659F3"/>
    <w:lvl w:ilvl="0" w:tentative="0">
      <w:start w:val="1"/>
      <w:numFmt w:val="decimal"/>
      <w:lvlText w:val="%1)"/>
      <w:lvlJc w:val="left"/>
      <w:pPr>
        <w:ind w:left="1080" w:hanging="360"/>
      </w:pPr>
      <w:rPr>
        <w:rFonts w:hint="default"/>
        <w:color w:val="000000" w:themeColor="dark1"/>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1E89177C"/>
    <w:multiLevelType w:val="multilevel"/>
    <w:tmpl w:val="1E89177C"/>
    <w:lvl w:ilvl="0" w:tentative="0">
      <w:start w:val="1"/>
      <w:numFmt w:val="decimal"/>
      <w:lvlText w:val="%1."/>
      <w:lvlJc w:val="left"/>
      <w:pPr>
        <w:ind w:left="927" w:hanging="360"/>
      </w:pPr>
      <w:rPr>
        <w:rFonts w:hint="default"/>
      </w:rPr>
    </w:lvl>
    <w:lvl w:ilvl="1" w:tentative="0">
      <w:start w:val="1"/>
      <w:numFmt w:val="decimal"/>
      <w:lvlText w:val="%2."/>
      <w:lvlJc w:val="left"/>
      <w:pPr>
        <w:ind w:left="1647" w:hanging="360"/>
      </w:pPr>
      <w:rPr>
        <w:rFonts w:hint="default"/>
      </w:rPr>
    </w:lvl>
    <w:lvl w:ilvl="2" w:tentative="0">
      <w:start w:val="1"/>
      <w:numFmt w:val="lowerLetter"/>
      <w:lvlText w:val="%3."/>
      <w:lvlJc w:val="left"/>
      <w:pPr>
        <w:ind w:left="2547" w:hanging="360"/>
      </w:pPr>
      <w:rPr>
        <w:rFonts w:hint="default"/>
        <w:color w:val="auto"/>
      </w:rPr>
    </w:lvl>
    <w:lvl w:ilvl="3" w:tentative="0">
      <w:start w:val="1"/>
      <w:numFmt w:val="bullet"/>
      <w:lvlText w:val="-"/>
      <w:lvlJc w:val="left"/>
      <w:pPr>
        <w:ind w:left="3087" w:hanging="360"/>
      </w:pPr>
      <w:rPr>
        <w:rFonts w:hint="default" w:ascii="Tahoma" w:hAnsi="Tahoma" w:eastAsia="Times New Roman" w:cs="Tahoma"/>
      </w:r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2">
    <w:nsid w:val="1E8C1E45"/>
    <w:multiLevelType w:val="multilevel"/>
    <w:tmpl w:val="1E8C1E4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1F786C00"/>
    <w:multiLevelType w:val="multilevel"/>
    <w:tmpl w:val="1F786C00"/>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rPr>
        <w:rFonts w:ascii="Bookman Old Style" w:hAnsi="Bookman Old Style" w:eastAsia="Times New Roman" w:cs="Tahoma"/>
        <w:b w:val="0"/>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207F5DA5"/>
    <w:multiLevelType w:val="multilevel"/>
    <w:tmpl w:val="207F5DA5"/>
    <w:lvl w:ilvl="0" w:tentative="0">
      <w:start w:val="1"/>
      <w:numFmt w:val="decimal"/>
      <w:lvlText w:val="%1."/>
      <w:lvlJc w:val="left"/>
      <w:pPr>
        <w:ind w:left="1429" w:hanging="360"/>
      </w:pPr>
      <w:rPr>
        <w:rFonts w:hint="default"/>
        <w:i w:val="0"/>
        <w:sz w:val="24"/>
      </w:rPr>
    </w:lvl>
    <w:lvl w:ilvl="1" w:tentative="0">
      <w:start w:val="1"/>
      <w:numFmt w:val="decimal"/>
      <w:isLgl/>
      <w:lvlText w:val="%1.%2."/>
      <w:lvlJc w:val="left"/>
      <w:pPr>
        <w:ind w:left="1789" w:hanging="720"/>
      </w:pPr>
      <w:rPr>
        <w:rFonts w:hint="default"/>
      </w:rPr>
    </w:lvl>
    <w:lvl w:ilvl="2" w:tentative="0">
      <w:start w:val="1"/>
      <w:numFmt w:val="decimal"/>
      <w:isLgl/>
      <w:lvlText w:val="%1.%2.%3."/>
      <w:lvlJc w:val="left"/>
      <w:pPr>
        <w:ind w:left="1789" w:hanging="720"/>
      </w:pPr>
      <w:rPr>
        <w:rFonts w:hint="default"/>
      </w:rPr>
    </w:lvl>
    <w:lvl w:ilvl="3" w:tentative="0">
      <w:start w:val="1"/>
      <w:numFmt w:val="decimal"/>
      <w:isLgl/>
      <w:lvlText w:val="%1.%2.%3.%4."/>
      <w:lvlJc w:val="left"/>
      <w:pPr>
        <w:ind w:left="2149" w:hanging="1080"/>
      </w:pPr>
      <w:rPr>
        <w:rFonts w:hint="default"/>
      </w:rPr>
    </w:lvl>
    <w:lvl w:ilvl="4" w:tentative="0">
      <w:start w:val="1"/>
      <w:numFmt w:val="decimal"/>
      <w:isLgl/>
      <w:lvlText w:val="%1.%2.%3.%4.%5."/>
      <w:lvlJc w:val="left"/>
      <w:pPr>
        <w:ind w:left="2509" w:hanging="1440"/>
      </w:pPr>
      <w:rPr>
        <w:rFonts w:hint="default"/>
      </w:rPr>
    </w:lvl>
    <w:lvl w:ilvl="5" w:tentative="0">
      <w:start w:val="1"/>
      <w:numFmt w:val="decimal"/>
      <w:isLgl/>
      <w:lvlText w:val="%1.%2.%3.%4.%5.%6."/>
      <w:lvlJc w:val="left"/>
      <w:pPr>
        <w:ind w:left="2509" w:hanging="1440"/>
      </w:pPr>
      <w:rPr>
        <w:rFonts w:hint="default"/>
      </w:rPr>
    </w:lvl>
    <w:lvl w:ilvl="6" w:tentative="0">
      <w:start w:val="1"/>
      <w:numFmt w:val="decimal"/>
      <w:isLgl/>
      <w:lvlText w:val="%1.%2.%3.%4.%5.%6.%7."/>
      <w:lvlJc w:val="left"/>
      <w:pPr>
        <w:ind w:left="2869" w:hanging="1800"/>
      </w:pPr>
      <w:rPr>
        <w:rFonts w:hint="default"/>
      </w:rPr>
    </w:lvl>
    <w:lvl w:ilvl="7" w:tentative="0">
      <w:start w:val="1"/>
      <w:numFmt w:val="decimal"/>
      <w:isLgl/>
      <w:lvlText w:val="%1.%2.%3.%4.%5.%6.%7.%8."/>
      <w:lvlJc w:val="left"/>
      <w:pPr>
        <w:ind w:left="3229" w:hanging="2160"/>
      </w:pPr>
      <w:rPr>
        <w:rFonts w:hint="default"/>
      </w:rPr>
    </w:lvl>
    <w:lvl w:ilvl="8" w:tentative="0">
      <w:start w:val="1"/>
      <w:numFmt w:val="decimal"/>
      <w:isLgl/>
      <w:lvlText w:val="%1.%2.%3.%4.%5.%6.%7.%8.%9."/>
      <w:lvlJc w:val="left"/>
      <w:pPr>
        <w:ind w:left="3229" w:hanging="2160"/>
      </w:pPr>
      <w:rPr>
        <w:rFonts w:hint="default"/>
      </w:rPr>
    </w:lvl>
  </w:abstractNum>
  <w:abstractNum w:abstractNumId="35">
    <w:nsid w:val="21A57B06"/>
    <w:multiLevelType w:val="multilevel"/>
    <w:tmpl w:val="21A57B06"/>
    <w:lvl w:ilvl="0" w:tentative="0">
      <w:start w:val="1"/>
      <w:numFmt w:val="bullet"/>
      <w:lvlText w:val=""/>
      <w:lvlPicBulletId w:val="0"/>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36">
    <w:nsid w:val="21ED2F48"/>
    <w:multiLevelType w:val="multilevel"/>
    <w:tmpl w:val="21ED2F48"/>
    <w:lvl w:ilvl="0" w:tentative="0">
      <w:start w:val="1"/>
      <w:numFmt w:val="decimal"/>
      <w:lvlText w:val="%1."/>
      <w:lvlJc w:val="left"/>
      <w:pPr>
        <w:ind w:left="796" w:hanging="360"/>
      </w:pPr>
    </w:lvl>
    <w:lvl w:ilvl="1" w:tentative="0">
      <w:start w:val="1"/>
      <w:numFmt w:val="lowerLetter"/>
      <w:lvlText w:val="%2."/>
      <w:lvlJc w:val="left"/>
      <w:pPr>
        <w:ind w:left="1516" w:hanging="360"/>
      </w:pPr>
    </w:lvl>
    <w:lvl w:ilvl="2" w:tentative="0">
      <w:start w:val="1"/>
      <w:numFmt w:val="lowerRoman"/>
      <w:lvlText w:val="%3."/>
      <w:lvlJc w:val="right"/>
      <w:pPr>
        <w:ind w:left="2236" w:hanging="180"/>
      </w:pPr>
    </w:lvl>
    <w:lvl w:ilvl="3" w:tentative="0">
      <w:start w:val="1"/>
      <w:numFmt w:val="decimal"/>
      <w:lvlText w:val="%4."/>
      <w:lvlJc w:val="left"/>
      <w:pPr>
        <w:ind w:left="2956" w:hanging="360"/>
      </w:pPr>
    </w:lvl>
    <w:lvl w:ilvl="4" w:tentative="0">
      <w:start w:val="1"/>
      <w:numFmt w:val="lowerLetter"/>
      <w:lvlText w:val="%5."/>
      <w:lvlJc w:val="left"/>
      <w:pPr>
        <w:ind w:left="3676" w:hanging="360"/>
      </w:pPr>
    </w:lvl>
    <w:lvl w:ilvl="5" w:tentative="0">
      <w:start w:val="1"/>
      <w:numFmt w:val="lowerRoman"/>
      <w:lvlText w:val="%6."/>
      <w:lvlJc w:val="right"/>
      <w:pPr>
        <w:ind w:left="4396" w:hanging="180"/>
      </w:pPr>
    </w:lvl>
    <w:lvl w:ilvl="6" w:tentative="0">
      <w:start w:val="1"/>
      <w:numFmt w:val="decimal"/>
      <w:lvlText w:val="%7."/>
      <w:lvlJc w:val="left"/>
      <w:pPr>
        <w:ind w:left="5116" w:hanging="360"/>
      </w:pPr>
    </w:lvl>
    <w:lvl w:ilvl="7" w:tentative="0">
      <w:start w:val="1"/>
      <w:numFmt w:val="lowerLetter"/>
      <w:lvlText w:val="%8."/>
      <w:lvlJc w:val="left"/>
      <w:pPr>
        <w:ind w:left="5836" w:hanging="360"/>
      </w:pPr>
    </w:lvl>
    <w:lvl w:ilvl="8" w:tentative="0">
      <w:start w:val="1"/>
      <w:numFmt w:val="lowerRoman"/>
      <w:lvlText w:val="%9."/>
      <w:lvlJc w:val="right"/>
      <w:pPr>
        <w:ind w:left="6556" w:hanging="180"/>
      </w:pPr>
    </w:lvl>
  </w:abstractNum>
  <w:abstractNum w:abstractNumId="37">
    <w:nsid w:val="22C229EF"/>
    <w:multiLevelType w:val="multilevel"/>
    <w:tmpl w:val="22C229EF"/>
    <w:lvl w:ilvl="0" w:tentative="0">
      <w:start w:val="1"/>
      <w:numFmt w:val="decimal"/>
      <w:lvlText w:val="%1."/>
      <w:lvlJc w:val="left"/>
      <w:pPr>
        <w:ind w:left="2880" w:hanging="360"/>
      </w:pPr>
    </w:lvl>
    <w:lvl w:ilvl="1" w:tentative="0">
      <w:start w:val="1"/>
      <w:numFmt w:val="decimal"/>
      <w:isLgl/>
      <w:lvlText w:val="%1.%2."/>
      <w:lvlJc w:val="left"/>
      <w:pPr>
        <w:ind w:left="3240" w:hanging="720"/>
      </w:pPr>
      <w:rPr>
        <w:rFonts w:hint="default"/>
        <w:b/>
      </w:rPr>
    </w:lvl>
    <w:lvl w:ilvl="2" w:tentative="0">
      <w:start w:val="1"/>
      <w:numFmt w:val="decimal"/>
      <w:isLgl/>
      <w:lvlText w:val="%1.%2.%3."/>
      <w:lvlJc w:val="left"/>
      <w:pPr>
        <w:ind w:left="3240" w:hanging="720"/>
      </w:pPr>
      <w:rPr>
        <w:rFonts w:hint="default"/>
      </w:rPr>
    </w:lvl>
    <w:lvl w:ilvl="3" w:tentative="0">
      <w:start w:val="1"/>
      <w:numFmt w:val="decimal"/>
      <w:isLgl/>
      <w:lvlText w:val="%1.%2.%3.%4."/>
      <w:lvlJc w:val="left"/>
      <w:pPr>
        <w:ind w:left="3600" w:hanging="1080"/>
      </w:pPr>
      <w:rPr>
        <w:rFonts w:hint="default"/>
      </w:rPr>
    </w:lvl>
    <w:lvl w:ilvl="4" w:tentative="0">
      <w:start w:val="1"/>
      <w:numFmt w:val="decimal"/>
      <w:isLgl/>
      <w:lvlText w:val="%1.%2.%3.%4.%5."/>
      <w:lvlJc w:val="left"/>
      <w:pPr>
        <w:ind w:left="3600" w:hanging="1080"/>
      </w:pPr>
      <w:rPr>
        <w:rFonts w:hint="default"/>
      </w:rPr>
    </w:lvl>
    <w:lvl w:ilvl="5" w:tentative="0">
      <w:start w:val="1"/>
      <w:numFmt w:val="decimal"/>
      <w:isLgl/>
      <w:lvlText w:val="%1.%2.%3.%4.%5.%6."/>
      <w:lvlJc w:val="left"/>
      <w:pPr>
        <w:ind w:left="396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320" w:hanging="1800"/>
      </w:pPr>
      <w:rPr>
        <w:rFonts w:hint="default"/>
      </w:rPr>
    </w:lvl>
    <w:lvl w:ilvl="8" w:tentative="0">
      <w:start w:val="1"/>
      <w:numFmt w:val="decimal"/>
      <w:isLgl/>
      <w:lvlText w:val="%1.%2.%3.%4.%5.%6.%7.%8.%9."/>
      <w:lvlJc w:val="left"/>
      <w:pPr>
        <w:ind w:left="4680" w:hanging="2160"/>
      </w:pPr>
      <w:rPr>
        <w:rFonts w:hint="default"/>
      </w:rPr>
    </w:lvl>
  </w:abstractNum>
  <w:abstractNum w:abstractNumId="38">
    <w:nsid w:val="23496299"/>
    <w:multiLevelType w:val="multilevel"/>
    <w:tmpl w:val="23496299"/>
    <w:lvl w:ilvl="0" w:tentative="0">
      <w:start w:val="2"/>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b/>
      </w:rPr>
    </w:lvl>
    <w:lvl w:ilvl="3" w:tentative="0">
      <w:start w:val="1"/>
      <w:numFmt w:val="decimal"/>
      <w:lvlText w:val="%1.%2.%3.%4."/>
      <w:lvlJc w:val="left"/>
      <w:pPr>
        <w:ind w:left="3284" w:hanging="1440"/>
      </w:pPr>
      <w:rPr>
        <w:rFonts w:hint="default"/>
        <w:b/>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39">
    <w:nsid w:val="23702E71"/>
    <w:multiLevelType w:val="multilevel"/>
    <w:tmpl w:val="23702E7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0">
    <w:nsid w:val="24AF043B"/>
    <w:multiLevelType w:val="multilevel"/>
    <w:tmpl w:val="24AF043B"/>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41">
    <w:nsid w:val="250E3CDD"/>
    <w:multiLevelType w:val="multilevel"/>
    <w:tmpl w:val="250E3CDD"/>
    <w:lvl w:ilvl="0" w:tentative="0">
      <w:start w:val="1"/>
      <w:numFmt w:val="decimal"/>
      <w:lvlText w:val="%1."/>
      <w:lvlJc w:val="left"/>
      <w:pPr>
        <w:ind w:left="617" w:hanging="360"/>
      </w:pPr>
      <w:rPr>
        <w:rFonts w:hint="default"/>
      </w:rPr>
    </w:lvl>
    <w:lvl w:ilvl="1" w:tentative="0">
      <w:start w:val="1"/>
      <w:numFmt w:val="decimal"/>
      <w:isLgl/>
      <w:lvlText w:val="%1.%2."/>
      <w:lvlJc w:val="left"/>
      <w:pPr>
        <w:ind w:left="1343" w:hanging="720"/>
      </w:pPr>
      <w:rPr>
        <w:rFonts w:hint="default"/>
      </w:rPr>
    </w:lvl>
    <w:lvl w:ilvl="2" w:tentative="0">
      <w:start w:val="2"/>
      <w:numFmt w:val="decimal"/>
      <w:isLgl/>
      <w:lvlText w:val="%1.%2.%3."/>
      <w:lvlJc w:val="left"/>
      <w:pPr>
        <w:ind w:left="1530" w:hanging="1080"/>
      </w:pPr>
      <w:rPr>
        <w:rFonts w:hint="default"/>
      </w:rPr>
    </w:lvl>
    <w:lvl w:ilvl="3" w:tentative="0">
      <w:start w:val="1"/>
      <w:numFmt w:val="decimal"/>
      <w:isLgl/>
      <w:lvlText w:val="%1.%2.%3.%4."/>
      <w:lvlJc w:val="left"/>
      <w:pPr>
        <w:ind w:left="2795" w:hanging="1440"/>
      </w:pPr>
      <w:rPr>
        <w:rFonts w:hint="default"/>
      </w:rPr>
    </w:lvl>
    <w:lvl w:ilvl="4" w:tentative="0">
      <w:start w:val="1"/>
      <w:numFmt w:val="decimal"/>
      <w:isLgl/>
      <w:lvlText w:val="%1.%2.%3.%4.%5."/>
      <w:lvlJc w:val="left"/>
      <w:pPr>
        <w:ind w:left="3161" w:hanging="1440"/>
      </w:pPr>
      <w:rPr>
        <w:rFonts w:hint="default"/>
      </w:rPr>
    </w:lvl>
    <w:lvl w:ilvl="5" w:tentative="0">
      <w:start w:val="1"/>
      <w:numFmt w:val="decimal"/>
      <w:isLgl/>
      <w:lvlText w:val="%1.%2.%3.%4.%5.%6."/>
      <w:lvlJc w:val="left"/>
      <w:pPr>
        <w:ind w:left="3887" w:hanging="1800"/>
      </w:pPr>
      <w:rPr>
        <w:rFonts w:hint="default"/>
      </w:rPr>
    </w:lvl>
    <w:lvl w:ilvl="6" w:tentative="0">
      <w:start w:val="1"/>
      <w:numFmt w:val="decimal"/>
      <w:isLgl/>
      <w:lvlText w:val="%1.%2.%3.%4.%5.%6.%7."/>
      <w:lvlJc w:val="left"/>
      <w:pPr>
        <w:ind w:left="4613" w:hanging="2160"/>
      </w:pPr>
      <w:rPr>
        <w:rFonts w:hint="default"/>
      </w:rPr>
    </w:lvl>
    <w:lvl w:ilvl="7" w:tentative="0">
      <w:start w:val="1"/>
      <w:numFmt w:val="decimal"/>
      <w:isLgl/>
      <w:lvlText w:val="%1.%2.%3.%4.%5.%6.%7.%8."/>
      <w:lvlJc w:val="left"/>
      <w:pPr>
        <w:ind w:left="5339" w:hanging="2520"/>
      </w:pPr>
      <w:rPr>
        <w:rFonts w:hint="default"/>
      </w:rPr>
    </w:lvl>
    <w:lvl w:ilvl="8" w:tentative="0">
      <w:start w:val="1"/>
      <w:numFmt w:val="decimal"/>
      <w:isLgl/>
      <w:lvlText w:val="%1.%2.%3.%4.%5.%6.%7.%8.%9."/>
      <w:lvlJc w:val="left"/>
      <w:pPr>
        <w:ind w:left="5705" w:hanging="2520"/>
      </w:pPr>
      <w:rPr>
        <w:rFonts w:hint="default"/>
      </w:rPr>
    </w:lvl>
  </w:abstractNum>
  <w:abstractNum w:abstractNumId="42">
    <w:nsid w:val="25F8633E"/>
    <w:multiLevelType w:val="multilevel"/>
    <w:tmpl w:val="25F8633E"/>
    <w:lvl w:ilvl="0" w:tentative="0">
      <w:start w:val="1"/>
      <w:numFmt w:val="decimal"/>
      <w:lvlText w:val="%1)"/>
      <w:lvlJc w:val="left"/>
      <w:pPr>
        <w:ind w:left="1494" w:hanging="360"/>
      </w:pPr>
      <w:rPr>
        <w:rFonts w:hint="default" w:ascii="Times New Roman" w:hAnsi="Times New Roman" w:cs="Times New Roman"/>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43">
    <w:nsid w:val="28864FC1"/>
    <w:multiLevelType w:val="multilevel"/>
    <w:tmpl w:val="28864FC1"/>
    <w:lvl w:ilvl="0" w:tentative="0">
      <w:start w:val="2"/>
      <w:numFmt w:val="decimal"/>
      <w:lvlText w:val="%1."/>
      <w:lvlJc w:val="left"/>
      <w:pPr>
        <w:ind w:left="390" w:hanging="390"/>
      </w:pPr>
      <w:rPr>
        <w:rFonts w:hint="default"/>
      </w:rPr>
    </w:lvl>
    <w:lvl w:ilvl="1" w:tentative="0">
      <w:start w:val="1"/>
      <w:numFmt w:val="decimal"/>
      <w:lvlText w:val="%1.%2."/>
      <w:lvlJc w:val="left"/>
      <w:pPr>
        <w:ind w:left="1080" w:hanging="720"/>
      </w:pPr>
      <w:rPr>
        <w:rFonts w:hint="default"/>
      </w:rPr>
    </w:lvl>
    <w:lvl w:ilvl="2" w:tentative="0">
      <w:start w:val="1"/>
      <w:numFmt w:val="decimal"/>
      <w:lvlText w:val="%3."/>
      <w:lvlJc w:val="left"/>
      <w:pPr>
        <w:ind w:left="1440" w:hanging="720"/>
      </w:pPr>
      <w:rPr>
        <w:rFonts w:hint="default"/>
        <w:color w:val="auto"/>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44">
    <w:nsid w:val="28C139F5"/>
    <w:multiLevelType w:val="multilevel"/>
    <w:tmpl w:val="28C139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298F0545"/>
    <w:multiLevelType w:val="multilevel"/>
    <w:tmpl w:val="298F054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2B675578"/>
    <w:multiLevelType w:val="multilevel"/>
    <w:tmpl w:val="2B67557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2BB86BC4"/>
    <w:multiLevelType w:val="multilevel"/>
    <w:tmpl w:val="2BB86BC4"/>
    <w:lvl w:ilvl="0" w:tentative="0">
      <w:start w:val="1"/>
      <w:numFmt w:val="decimal"/>
      <w:lvlText w:val="%1."/>
      <w:lvlJc w:val="left"/>
      <w:pPr>
        <w:ind w:left="1789" w:hanging="360"/>
      </w:pPr>
      <w:rPr>
        <w:rFonts w:hint="default"/>
      </w:rPr>
    </w:lvl>
    <w:lvl w:ilvl="1" w:tentative="0">
      <w:start w:val="1"/>
      <w:numFmt w:val="decimal"/>
      <w:isLgl/>
      <w:lvlText w:val="%1.%2"/>
      <w:lvlJc w:val="left"/>
      <w:pPr>
        <w:ind w:left="1789" w:hanging="360"/>
      </w:pPr>
      <w:rPr>
        <w:rFonts w:hint="default"/>
      </w:rPr>
    </w:lvl>
    <w:lvl w:ilvl="2" w:tentative="0">
      <w:start w:val="1"/>
      <w:numFmt w:val="decimalZero"/>
      <w:isLgl/>
      <w:lvlText w:val="%1.%2.%3"/>
      <w:lvlJc w:val="left"/>
      <w:pPr>
        <w:ind w:left="2149" w:hanging="720"/>
      </w:pPr>
      <w:rPr>
        <w:rFonts w:hint="default"/>
      </w:rPr>
    </w:lvl>
    <w:lvl w:ilvl="3" w:tentative="0">
      <w:start w:val="1"/>
      <w:numFmt w:val="decimalZero"/>
      <w:isLgl/>
      <w:lvlText w:val="%1.%2.%3.%4"/>
      <w:lvlJc w:val="left"/>
      <w:pPr>
        <w:ind w:left="2149" w:hanging="720"/>
      </w:pPr>
      <w:rPr>
        <w:rFonts w:hint="default"/>
      </w:rPr>
    </w:lvl>
    <w:lvl w:ilvl="4" w:tentative="0">
      <w:start w:val="1"/>
      <w:numFmt w:val="decimal"/>
      <w:isLgl/>
      <w:lvlText w:val="%1.%2.%3.%4.%5"/>
      <w:lvlJc w:val="left"/>
      <w:pPr>
        <w:ind w:left="2509" w:hanging="1080"/>
      </w:pPr>
      <w:rPr>
        <w:rFonts w:hint="default"/>
      </w:rPr>
    </w:lvl>
    <w:lvl w:ilvl="5" w:tentative="0">
      <w:start w:val="1"/>
      <w:numFmt w:val="decimal"/>
      <w:isLgl/>
      <w:lvlText w:val="%1.%2.%3.%4.%5.%6"/>
      <w:lvlJc w:val="left"/>
      <w:pPr>
        <w:ind w:left="2509" w:hanging="1080"/>
      </w:pPr>
      <w:rPr>
        <w:rFonts w:hint="default"/>
      </w:rPr>
    </w:lvl>
    <w:lvl w:ilvl="6" w:tentative="0">
      <w:start w:val="1"/>
      <w:numFmt w:val="decimal"/>
      <w:isLgl/>
      <w:lvlText w:val="%1.%2.%3.%4.%5.%6.%7"/>
      <w:lvlJc w:val="left"/>
      <w:pPr>
        <w:ind w:left="2869" w:hanging="1440"/>
      </w:pPr>
      <w:rPr>
        <w:rFonts w:hint="default"/>
      </w:rPr>
    </w:lvl>
    <w:lvl w:ilvl="7" w:tentative="0">
      <w:start w:val="1"/>
      <w:numFmt w:val="decimal"/>
      <w:isLgl/>
      <w:lvlText w:val="%1.%2.%3.%4.%5.%6.%7.%8"/>
      <w:lvlJc w:val="left"/>
      <w:pPr>
        <w:ind w:left="2869" w:hanging="1440"/>
      </w:pPr>
      <w:rPr>
        <w:rFonts w:hint="default"/>
      </w:rPr>
    </w:lvl>
    <w:lvl w:ilvl="8" w:tentative="0">
      <w:start w:val="1"/>
      <w:numFmt w:val="decimal"/>
      <w:isLgl/>
      <w:lvlText w:val="%1.%2.%3.%4.%5.%6.%7.%8.%9"/>
      <w:lvlJc w:val="left"/>
      <w:pPr>
        <w:ind w:left="3229" w:hanging="1800"/>
      </w:pPr>
      <w:rPr>
        <w:rFonts w:hint="default"/>
      </w:rPr>
    </w:lvl>
  </w:abstractNum>
  <w:abstractNum w:abstractNumId="48">
    <w:nsid w:val="2CC77CCB"/>
    <w:multiLevelType w:val="multilevel"/>
    <w:tmpl w:val="2CC77CCB"/>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49">
    <w:nsid w:val="2FE77A61"/>
    <w:multiLevelType w:val="multilevel"/>
    <w:tmpl w:val="2FE77A61"/>
    <w:lvl w:ilvl="0" w:tentative="0">
      <w:start w:val="1"/>
      <w:numFmt w:val="decimal"/>
      <w:lvlText w:val="%1."/>
      <w:lvlJc w:val="left"/>
      <w:pPr>
        <w:ind w:left="1080" w:hanging="360"/>
      </w:pPr>
      <w:rPr>
        <w:rFonts w:ascii="Bookman Old Style" w:hAnsi="Bookman Old Style" w:eastAsia="Times New Roman" w:cs="Tahoma"/>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0">
    <w:nsid w:val="300976A6"/>
    <w:multiLevelType w:val="multilevel"/>
    <w:tmpl w:val="300976A6"/>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51">
    <w:nsid w:val="308636CB"/>
    <w:multiLevelType w:val="multilevel"/>
    <w:tmpl w:val="308636C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32B347BE"/>
    <w:multiLevelType w:val="multilevel"/>
    <w:tmpl w:val="32B347BE"/>
    <w:lvl w:ilvl="0" w:tentative="0">
      <w:start w:val="1"/>
      <w:numFmt w:val="decimal"/>
      <w:lvlText w:val="%1."/>
      <w:lvlJc w:val="left"/>
      <w:pPr>
        <w:tabs>
          <w:tab w:val="left" w:pos="720"/>
        </w:tabs>
        <w:ind w:left="720" w:hanging="360"/>
      </w:pPr>
      <w:rPr>
        <w:rFonts w:ascii="Bookman Old Style" w:hAnsi="Bookman Old Style" w:eastAsia="Times New Roman" w:cs="Tahoma"/>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3">
    <w:nsid w:val="3411323C"/>
    <w:multiLevelType w:val="multilevel"/>
    <w:tmpl w:val="3411323C"/>
    <w:lvl w:ilvl="0" w:tentative="0">
      <w:start w:val="1"/>
      <w:numFmt w:val="decimal"/>
      <w:lvlText w:val="%1."/>
      <w:lvlJc w:val="left"/>
      <w:pPr>
        <w:ind w:left="2781" w:hanging="425"/>
      </w:pPr>
      <w:rPr>
        <w:rFonts w:ascii="Times New Roman" w:hAnsi="Times New Roman" w:eastAsia="Times New Roman" w:cs="Times New Roman"/>
        <w:spacing w:val="-2"/>
        <w:w w:val="100"/>
        <w:sz w:val="24"/>
        <w:szCs w:val="24"/>
        <w:lang w:val="id" w:eastAsia="en-US" w:bidi="ar-SA"/>
      </w:rPr>
    </w:lvl>
    <w:lvl w:ilvl="1" w:tentative="0">
      <w:start w:val="2"/>
      <w:numFmt w:val="decimal"/>
      <w:isLgl/>
      <w:lvlText w:val="%1.%2."/>
      <w:lvlJc w:val="left"/>
      <w:pPr>
        <w:ind w:left="3240" w:hanging="720"/>
      </w:pPr>
      <w:rPr>
        <w:rFonts w:hint="default"/>
        <w:b/>
      </w:rPr>
    </w:lvl>
    <w:lvl w:ilvl="2" w:tentative="0">
      <w:start w:val="1"/>
      <w:numFmt w:val="decimal"/>
      <w:isLgl/>
      <w:lvlText w:val="%1.%2.%3."/>
      <w:lvlJc w:val="left"/>
      <w:pPr>
        <w:ind w:left="3764" w:hanging="1080"/>
      </w:pPr>
      <w:rPr>
        <w:rFonts w:hint="default"/>
        <w:b/>
      </w:rPr>
    </w:lvl>
    <w:lvl w:ilvl="3" w:tentative="0">
      <w:start w:val="1"/>
      <w:numFmt w:val="decimal"/>
      <w:isLgl/>
      <w:lvlText w:val="%1.%2.%3.%4."/>
      <w:lvlJc w:val="left"/>
      <w:pPr>
        <w:ind w:left="3928" w:hanging="1080"/>
      </w:pPr>
      <w:rPr>
        <w:rFonts w:hint="default"/>
        <w:b/>
      </w:rPr>
    </w:lvl>
    <w:lvl w:ilvl="4" w:tentative="0">
      <w:start w:val="1"/>
      <w:numFmt w:val="decimal"/>
      <w:isLgl/>
      <w:lvlText w:val="%1.%2.%3.%4.%5."/>
      <w:lvlJc w:val="left"/>
      <w:pPr>
        <w:ind w:left="4452" w:hanging="1440"/>
      </w:pPr>
      <w:rPr>
        <w:rFonts w:hint="default"/>
        <w:b/>
      </w:rPr>
    </w:lvl>
    <w:lvl w:ilvl="5" w:tentative="0">
      <w:start w:val="1"/>
      <w:numFmt w:val="decimal"/>
      <w:isLgl/>
      <w:lvlText w:val="%1.%2.%3.%4.%5.%6."/>
      <w:lvlJc w:val="left"/>
      <w:pPr>
        <w:ind w:left="4976" w:hanging="1800"/>
      </w:pPr>
      <w:rPr>
        <w:rFonts w:hint="default"/>
        <w:b/>
      </w:rPr>
    </w:lvl>
    <w:lvl w:ilvl="6" w:tentative="0">
      <w:start w:val="1"/>
      <w:numFmt w:val="decimal"/>
      <w:isLgl/>
      <w:lvlText w:val="%1.%2.%3.%4.%5.%6.%7."/>
      <w:lvlJc w:val="left"/>
      <w:pPr>
        <w:ind w:left="5140" w:hanging="1800"/>
      </w:pPr>
      <w:rPr>
        <w:rFonts w:hint="default"/>
        <w:b/>
      </w:rPr>
    </w:lvl>
    <w:lvl w:ilvl="7" w:tentative="0">
      <w:start w:val="1"/>
      <w:numFmt w:val="decimal"/>
      <w:isLgl/>
      <w:lvlText w:val="%1.%2.%3.%4.%5.%6.%7.%8."/>
      <w:lvlJc w:val="left"/>
      <w:pPr>
        <w:ind w:left="5664" w:hanging="2160"/>
      </w:pPr>
      <w:rPr>
        <w:rFonts w:hint="default"/>
        <w:b/>
      </w:rPr>
    </w:lvl>
    <w:lvl w:ilvl="8" w:tentative="0">
      <w:start w:val="1"/>
      <w:numFmt w:val="decimal"/>
      <w:isLgl/>
      <w:lvlText w:val="%1.%2.%3.%4.%5.%6.%7.%8.%9."/>
      <w:lvlJc w:val="left"/>
      <w:pPr>
        <w:ind w:left="6188" w:hanging="2520"/>
      </w:pPr>
      <w:rPr>
        <w:rFonts w:hint="default"/>
        <w:b/>
      </w:rPr>
    </w:lvl>
  </w:abstractNum>
  <w:abstractNum w:abstractNumId="54">
    <w:nsid w:val="35B34296"/>
    <w:multiLevelType w:val="multilevel"/>
    <w:tmpl w:val="35B3429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36162870"/>
    <w:multiLevelType w:val="multilevel"/>
    <w:tmpl w:val="3616287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36C302D0"/>
    <w:multiLevelType w:val="multilevel"/>
    <w:tmpl w:val="36C302D0"/>
    <w:lvl w:ilvl="0" w:tentative="0">
      <w:start w:val="1"/>
      <w:numFmt w:val="decimal"/>
      <w:lvlText w:val="%1."/>
      <w:lvlJc w:val="left"/>
      <w:pPr>
        <w:ind w:left="720" w:hanging="360"/>
      </w:pPr>
    </w:lvl>
    <w:lvl w:ilvl="1" w:tentative="0">
      <w:start w:val="3"/>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520" w:hanging="2160"/>
      </w:pPr>
      <w:rPr>
        <w:rFonts w:hint="default"/>
      </w:rPr>
    </w:lvl>
  </w:abstractNum>
  <w:abstractNum w:abstractNumId="57">
    <w:nsid w:val="3848506F"/>
    <w:multiLevelType w:val="multilevel"/>
    <w:tmpl w:val="3848506F"/>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8">
    <w:nsid w:val="389E570C"/>
    <w:multiLevelType w:val="multilevel"/>
    <w:tmpl w:val="389E570C"/>
    <w:lvl w:ilvl="0" w:tentative="0">
      <w:start w:val="1"/>
      <w:numFmt w:val="decimal"/>
      <w:lvlText w:val="%1."/>
      <w:lvlJc w:val="left"/>
      <w:pPr>
        <w:ind w:left="1866" w:hanging="360"/>
      </w:p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abstractNum w:abstractNumId="59">
    <w:nsid w:val="38A26E5F"/>
    <w:multiLevelType w:val="multilevel"/>
    <w:tmpl w:val="38A26E5F"/>
    <w:lvl w:ilvl="0" w:tentative="0">
      <w:start w:val="1"/>
      <w:numFmt w:val="decimal"/>
      <w:lvlText w:val="%1."/>
      <w:lvlJc w:val="left"/>
      <w:pPr>
        <w:ind w:left="786" w:hanging="360"/>
      </w:pPr>
      <w:rPr>
        <w:rFonts w:ascii="Bookman Old Style" w:hAnsi="Bookman Old Style" w:eastAsia="Times New Roman" w:cs="Tahoma"/>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60">
    <w:nsid w:val="39496A78"/>
    <w:multiLevelType w:val="multilevel"/>
    <w:tmpl w:val="39496A78"/>
    <w:lvl w:ilvl="0" w:tentative="0">
      <w:start w:val="1"/>
      <w:numFmt w:val="decimal"/>
      <w:lvlText w:val="%1."/>
      <w:lvlJc w:val="left"/>
      <w:pPr>
        <w:ind w:left="1069" w:hanging="360"/>
      </w:pPr>
      <w:rPr>
        <w:rFonts w:hint="default"/>
      </w:rPr>
    </w:lvl>
    <w:lvl w:ilvl="1" w:tentative="0">
      <w:start w:val="1"/>
      <w:numFmt w:val="decimal"/>
      <w:isLgl/>
      <w:lvlText w:val="%1.%2."/>
      <w:lvlJc w:val="left"/>
      <w:pPr>
        <w:ind w:left="1429" w:hanging="720"/>
      </w:pPr>
      <w:rPr>
        <w:rFonts w:hint="default"/>
      </w:rPr>
    </w:lvl>
    <w:lvl w:ilvl="2" w:tentative="0">
      <w:start w:val="1"/>
      <w:numFmt w:val="decimal"/>
      <w:isLgl/>
      <w:lvlText w:val="%1.%2.%3."/>
      <w:lvlJc w:val="left"/>
      <w:pPr>
        <w:ind w:left="1789" w:hanging="1080"/>
      </w:pPr>
      <w:rPr>
        <w:rFonts w:hint="default"/>
      </w:rPr>
    </w:lvl>
    <w:lvl w:ilvl="3" w:tentative="0">
      <w:start w:val="1"/>
      <w:numFmt w:val="decimal"/>
      <w:isLgl/>
      <w:lvlText w:val="%1.%2.%3.%4."/>
      <w:lvlJc w:val="left"/>
      <w:pPr>
        <w:ind w:left="2149" w:hanging="1440"/>
      </w:pPr>
      <w:rPr>
        <w:rFonts w:hint="default"/>
      </w:rPr>
    </w:lvl>
    <w:lvl w:ilvl="4" w:tentative="0">
      <w:start w:val="1"/>
      <w:numFmt w:val="decimal"/>
      <w:isLgl/>
      <w:lvlText w:val="%1.%2.%3.%4.%5."/>
      <w:lvlJc w:val="left"/>
      <w:pPr>
        <w:ind w:left="2149" w:hanging="1440"/>
      </w:pPr>
      <w:rPr>
        <w:rFonts w:hint="default"/>
      </w:rPr>
    </w:lvl>
    <w:lvl w:ilvl="5" w:tentative="0">
      <w:start w:val="1"/>
      <w:numFmt w:val="decimal"/>
      <w:isLgl/>
      <w:lvlText w:val="%1.%2.%3.%4.%5.%6."/>
      <w:lvlJc w:val="left"/>
      <w:pPr>
        <w:ind w:left="2509" w:hanging="1800"/>
      </w:pPr>
      <w:rPr>
        <w:rFonts w:hint="default"/>
      </w:rPr>
    </w:lvl>
    <w:lvl w:ilvl="6" w:tentative="0">
      <w:start w:val="1"/>
      <w:numFmt w:val="decimal"/>
      <w:isLgl/>
      <w:lvlText w:val="%1.%2.%3.%4.%5.%6.%7."/>
      <w:lvlJc w:val="left"/>
      <w:pPr>
        <w:ind w:left="2869" w:hanging="2160"/>
      </w:pPr>
      <w:rPr>
        <w:rFonts w:hint="default"/>
      </w:rPr>
    </w:lvl>
    <w:lvl w:ilvl="7" w:tentative="0">
      <w:start w:val="1"/>
      <w:numFmt w:val="decimal"/>
      <w:isLgl/>
      <w:lvlText w:val="%1.%2.%3.%4.%5.%6.%7.%8."/>
      <w:lvlJc w:val="left"/>
      <w:pPr>
        <w:ind w:left="3229" w:hanging="2520"/>
      </w:pPr>
      <w:rPr>
        <w:rFonts w:hint="default"/>
      </w:rPr>
    </w:lvl>
    <w:lvl w:ilvl="8" w:tentative="0">
      <w:start w:val="1"/>
      <w:numFmt w:val="decimal"/>
      <w:isLgl/>
      <w:lvlText w:val="%1.%2.%3.%4.%5.%6.%7.%8.%9."/>
      <w:lvlJc w:val="left"/>
      <w:pPr>
        <w:ind w:left="3229" w:hanging="2520"/>
      </w:pPr>
      <w:rPr>
        <w:rFonts w:hint="default"/>
      </w:rPr>
    </w:lvl>
  </w:abstractNum>
  <w:abstractNum w:abstractNumId="61">
    <w:nsid w:val="3BD51417"/>
    <w:multiLevelType w:val="multilevel"/>
    <w:tmpl w:val="3BD51417"/>
    <w:lvl w:ilvl="0" w:tentative="0">
      <w:start w:val="1"/>
      <w:numFmt w:val="decimal"/>
      <w:lvlText w:val="%1."/>
      <w:lvlJc w:val="left"/>
      <w:pPr>
        <w:tabs>
          <w:tab w:val="left" w:pos="720"/>
        </w:tabs>
        <w:ind w:left="720" w:hanging="360"/>
      </w:pPr>
      <w:rPr>
        <w:rFonts w:hint="default"/>
        <w:b w:val="0"/>
        <w:sz w:val="24"/>
      </w:rPr>
    </w:lvl>
    <w:lvl w:ilvl="1" w:tentative="0">
      <w:start w:val="2"/>
      <w:numFmt w:val="decimal"/>
      <w:isLgl/>
      <w:lvlText w:val="%1.%2."/>
      <w:lvlJc w:val="left"/>
      <w:pPr>
        <w:ind w:left="1080" w:hanging="720"/>
      </w:pPr>
      <w:rPr>
        <w:rFonts w:hint="default"/>
        <w:b/>
      </w:rPr>
    </w:lvl>
    <w:lvl w:ilvl="2" w:tentative="0">
      <w:start w:val="1"/>
      <w:numFmt w:val="decimal"/>
      <w:isLgl/>
      <w:lvlText w:val="%1.%2.%3."/>
      <w:lvlJc w:val="left"/>
      <w:pPr>
        <w:ind w:left="1440" w:hanging="1080"/>
      </w:pPr>
      <w:rPr>
        <w:rFonts w:hint="default"/>
        <w:b/>
      </w:rPr>
    </w:lvl>
    <w:lvl w:ilvl="3" w:tentative="0">
      <w:start w:val="1"/>
      <w:numFmt w:val="decimal"/>
      <w:isLgl/>
      <w:lvlText w:val="%1.%2.%3.%4."/>
      <w:lvlJc w:val="left"/>
      <w:pPr>
        <w:ind w:left="1440" w:hanging="1080"/>
      </w:pPr>
      <w:rPr>
        <w:rFonts w:hint="default"/>
        <w:b/>
      </w:rPr>
    </w:lvl>
    <w:lvl w:ilvl="4" w:tentative="0">
      <w:start w:val="1"/>
      <w:numFmt w:val="decimal"/>
      <w:isLgl/>
      <w:lvlText w:val="%1.%2.%3.%4.%5."/>
      <w:lvlJc w:val="left"/>
      <w:pPr>
        <w:ind w:left="1800" w:hanging="1440"/>
      </w:pPr>
      <w:rPr>
        <w:rFonts w:hint="default"/>
        <w:b/>
      </w:rPr>
    </w:lvl>
    <w:lvl w:ilvl="5" w:tentative="0">
      <w:start w:val="1"/>
      <w:numFmt w:val="decimal"/>
      <w:isLgl/>
      <w:lvlText w:val="%1.%2.%3.%4.%5.%6."/>
      <w:lvlJc w:val="left"/>
      <w:pPr>
        <w:ind w:left="2160" w:hanging="1800"/>
      </w:pPr>
      <w:rPr>
        <w:rFonts w:hint="default"/>
        <w:b/>
      </w:rPr>
    </w:lvl>
    <w:lvl w:ilvl="6" w:tentative="0">
      <w:start w:val="1"/>
      <w:numFmt w:val="decimal"/>
      <w:isLgl/>
      <w:lvlText w:val="%1.%2.%3.%4.%5.%6.%7."/>
      <w:lvlJc w:val="left"/>
      <w:pPr>
        <w:ind w:left="2160" w:hanging="1800"/>
      </w:pPr>
      <w:rPr>
        <w:rFonts w:hint="default"/>
        <w:b/>
      </w:rPr>
    </w:lvl>
    <w:lvl w:ilvl="7" w:tentative="0">
      <w:start w:val="1"/>
      <w:numFmt w:val="decimal"/>
      <w:isLgl/>
      <w:lvlText w:val="%1.%2.%3.%4.%5.%6.%7.%8."/>
      <w:lvlJc w:val="left"/>
      <w:pPr>
        <w:ind w:left="2520" w:hanging="2160"/>
      </w:pPr>
      <w:rPr>
        <w:rFonts w:hint="default"/>
        <w:b/>
      </w:rPr>
    </w:lvl>
    <w:lvl w:ilvl="8" w:tentative="0">
      <w:start w:val="1"/>
      <w:numFmt w:val="decimal"/>
      <w:isLgl/>
      <w:lvlText w:val="%1.%2.%3.%4.%5.%6.%7.%8.%9."/>
      <w:lvlJc w:val="left"/>
      <w:pPr>
        <w:ind w:left="2880" w:hanging="2520"/>
      </w:pPr>
      <w:rPr>
        <w:rFonts w:hint="default"/>
        <w:b/>
      </w:rPr>
    </w:lvl>
  </w:abstractNum>
  <w:abstractNum w:abstractNumId="62">
    <w:nsid w:val="3C357937"/>
    <w:multiLevelType w:val="multilevel"/>
    <w:tmpl w:val="3C357937"/>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340" w:hanging="360"/>
      </w:pPr>
      <w:rPr>
        <w:rFonts w:hint="default" w:ascii="Times New Roman" w:hAnsi="Times New Roman"/>
      </w:rPr>
    </w:lvl>
    <w:lvl w:ilvl="3" w:tentative="0">
      <w:start w:val="1"/>
      <w:numFmt w:val="low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3CF23DE2"/>
    <w:multiLevelType w:val="multilevel"/>
    <w:tmpl w:val="3CF23DE2"/>
    <w:lvl w:ilvl="0" w:tentative="0">
      <w:start w:val="1"/>
      <w:numFmt w:val="decimal"/>
      <w:lvlText w:val="%1."/>
      <w:lvlJc w:val="left"/>
      <w:pPr>
        <w:ind w:left="720" w:hanging="360"/>
      </w:pPr>
    </w:lvl>
    <w:lvl w:ilvl="1" w:tentative="0">
      <w:start w:val="3"/>
      <w:numFmt w:val="decimal"/>
      <w:isLgl/>
      <w:lvlText w:val="%1.%2."/>
      <w:lvlJc w:val="left"/>
      <w:pPr>
        <w:ind w:left="1854" w:hanging="720"/>
      </w:pPr>
      <w:rPr>
        <w:rFonts w:hint="default"/>
      </w:rPr>
    </w:lvl>
    <w:lvl w:ilvl="2" w:tentative="0">
      <w:start w:val="1"/>
      <w:numFmt w:val="decimal"/>
      <w:isLgl/>
      <w:lvlText w:val="%1.%2.%3."/>
      <w:lvlJc w:val="left"/>
      <w:pPr>
        <w:ind w:left="2988" w:hanging="1080"/>
      </w:pPr>
      <w:rPr>
        <w:rFonts w:hint="default"/>
      </w:rPr>
    </w:lvl>
    <w:lvl w:ilvl="3" w:tentative="0">
      <w:start w:val="1"/>
      <w:numFmt w:val="decimal"/>
      <w:isLgl/>
      <w:lvlText w:val="%1.%2.%3.%4."/>
      <w:lvlJc w:val="left"/>
      <w:pPr>
        <w:ind w:left="4122" w:hanging="1440"/>
      </w:pPr>
      <w:rPr>
        <w:rFonts w:hint="default"/>
      </w:rPr>
    </w:lvl>
    <w:lvl w:ilvl="4" w:tentative="0">
      <w:start w:val="1"/>
      <w:numFmt w:val="decimal"/>
      <w:isLgl/>
      <w:lvlText w:val="%1.%2.%3.%4.%5."/>
      <w:lvlJc w:val="left"/>
      <w:pPr>
        <w:ind w:left="4896" w:hanging="1440"/>
      </w:pPr>
      <w:rPr>
        <w:rFonts w:hint="default"/>
      </w:rPr>
    </w:lvl>
    <w:lvl w:ilvl="5" w:tentative="0">
      <w:start w:val="1"/>
      <w:numFmt w:val="decimal"/>
      <w:isLgl/>
      <w:lvlText w:val="%1.%2.%3.%4.%5.%6."/>
      <w:lvlJc w:val="left"/>
      <w:pPr>
        <w:ind w:left="6030" w:hanging="1800"/>
      </w:pPr>
      <w:rPr>
        <w:rFonts w:hint="default"/>
      </w:rPr>
    </w:lvl>
    <w:lvl w:ilvl="6" w:tentative="0">
      <w:start w:val="1"/>
      <w:numFmt w:val="decimal"/>
      <w:isLgl/>
      <w:lvlText w:val="%1.%2.%3.%4.%5.%6.%7."/>
      <w:lvlJc w:val="left"/>
      <w:pPr>
        <w:ind w:left="7164" w:hanging="2160"/>
      </w:pPr>
      <w:rPr>
        <w:rFonts w:hint="default"/>
      </w:rPr>
    </w:lvl>
    <w:lvl w:ilvl="7" w:tentative="0">
      <w:start w:val="1"/>
      <w:numFmt w:val="decimal"/>
      <w:isLgl/>
      <w:lvlText w:val="%1.%2.%3.%4.%5.%6.%7.%8."/>
      <w:lvlJc w:val="left"/>
      <w:pPr>
        <w:ind w:left="8298" w:hanging="2520"/>
      </w:pPr>
      <w:rPr>
        <w:rFonts w:hint="default"/>
      </w:rPr>
    </w:lvl>
    <w:lvl w:ilvl="8" w:tentative="0">
      <w:start w:val="1"/>
      <w:numFmt w:val="decimal"/>
      <w:isLgl/>
      <w:lvlText w:val="%1.%2.%3.%4.%5.%6.%7.%8.%9."/>
      <w:lvlJc w:val="left"/>
      <w:pPr>
        <w:ind w:left="9072" w:hanging="2520"/>
      </w:pPr>
      <w:rPr>
        <w:rFonts w:hint="default"/>
      </w:rPr>
    </w:lvl>
  </w:abstractNum>
  <w:abstractNum w:abstractNumId="64">
    <w:nsid w:val="3DB63D6D"/>
    <w:multiLevelType w:val="multilevel"/>
    <w:tmpl w:val="3DB63D6D"/>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65">
    <w:nsid w:val="3F377000"/>
    <w:multiLevelType w:val="multilevel"/>
    <w:tmpl w:val="3F377000"/>
    <w:lvl w:ilvl="0" w:tentative="0">
      <w:start w:val="1"/>
      <w:numFmt w:val="lowerLetter"/>
      <w:lvlText w:val="%1."/>
      <w:lvlJc w:val="left"/>
      <w:pPr>
        <w:ind w:left="1440" w:hanging="360"/>
      </w:pPr>
    </w:lvl>
    <w:lvl w:ilvl="1" w:tentative="0">
      <w:start w:val="1"/>
      <w:numFmt w:val="lowerLetter"/>
      <w:lvlText w:val="%2."/>
      <w:lvlJc w:val="left"/>
      <w:pPr>
        <w:ind w:left="731" w:hanging="360"/>
      </w:pPr>
    </w:lvl>
    <w:lvl w:ilvl="2" w:tentative="0">
      <w:start w:val="1"/>
      <w:numFmt w:val="lowerRoman"/>
      <w:lvlText w:val="%3."/>
      <w:lvlJc w:val="right"/>
      <w:pPr>
        <w:ind w:left="1451" w:hanging="180"/>
      </w:pPr>
    </w:lvl>
    <w:lvl w:ilvl="3" w:tentative="0">
      <w:start w:val="1"/>
      <w:numFmt w:val="decimal"/>
      <w:lvlText w:val="%4."/>
      <w:lvlJc w:val="left"/>
      <w:pPr>
        <w:ind w:left="2171" w:hanging="360"/>
      </w:pPr>
    </w:lvl>
    <w:lvl w:ilvl="4" w:tentative="0">
      <w:start w:val="1"/>
      <w:numFmt w:val="lowerLetter"/>
      <w:lvlText w:val="%5."/>
      <w:lvlJc w:val="left"/>
      <w:pPr>
        <w:ind w:left="2891" w:hanging="360"/>
      </w:pPr>
    </w:lvl>
    <w:lvl w:ilvl="5" w:tentative="0">
      <w:start w:val="1"/>
      <w:numFmt w:val="lowerRoman"/>
      <w:lvlText w:val="%6."/>
      <w:lvlJc w:val="right"/>
      <w:pPr>
        <w:ind w:left="3611" w:hanging="180"/>
      </w:pPr>
    </w:lvl>
    <w:lvl w:ilvl="6" w:tentative="0">
      <w:start w:val="1"/>
      <w:numFmt w:val="decimal"/>
      <w:lvlText w:val="%7."/>
      <w:lvlJc w:val="left"/>
      <w:pPr>
        <w:ind w:left="4331" w:hanging="360"/>
      </w:pPr>
    </w:lvl>
    <w:lvl w:ilvl="7" w:tentative="0">
      <w:start w:val="1"/>
      <w:numFmt w:val="lowerLetter"/>
      <w:lvlText w:val="%8."/>
      <w:lvlJc w:val="left"/>
      <w:pPr>
        <w:ind w:left="5051" w:hanging="360"/>
      </w:pPr>
    </w:lvl>
    <w:lvl w:ilvl="8" w:tentative="0">
      <w:start w:val="1"/>
      <w:numFmt w:val="lowerRoman"/>
      <w:lvlText w:val="%9."/>
      <w:lvlJc w:val="right"/>
      <w:pPr>
        <w:ind w:left="5771" w:hanging="180"/>
      </w:pPr>
    </w:lvl>
  </w:abstractNum>
  <w:abstractNum w:abstractNumId="66">
    <w:nsid w:val="407A40E7"/>
    <w:multiLevelType w:val="multilevel"/>
    <w:tmpl w:val="407A40E7"/>
    <w:lvl w:ilvl="0" w:tentative="0">
      <w:start w:val="1"/>
      <w:numFmt w:val="decimal"/>
      <w:lvlText w:val="%1)"/>
      <w:lvlJc w:val="left"/>
      <w:pPr>
        <w:ind w:left="3651" w:hanging="360"/>
      </w:pPr>
    </w:lvl>
    <w:lvl w:ilvl="1" w:tentative="0">
      <w:start w:val="1"/>
      <w:numFmt w:val="lowerLetter"/>
      <w:lvlText w:val="%2."/>
      <w:lvlJc w:val="left"/>
      <w:pPr>
        <w:ind w:left="4371" w:hanging="360"/>
      </w:pPr>
      <w:rPr>
        <w:rFonts w:cs="Times New Roman"/>
      </w:rPr>
    </w:lvl>
    <w:lvl w:ilvl="2" w:tentative="0">
      <w:start w:val="1"/>
      <w:numFmt w:val="lowerRoman"/>
      <w:lvlText w:val="%3."/>
      <w:lvlJc w:val="right"/>
      <w:pPr>
        <w:ind w:left="5091" w:hanging="180"/>
      </w:pPr>
      <w:rPr>
        <w:rFonts w:cs="Times New Roman"/>
      </w:rPr>
    </w:lvl>
    <w:lvl w:ilvl="3" w:tentative="0">
      <w:start w:val="1"/>
      <w:numFmt w:val="decimal"/>
      <w:lvlText w:val="%4."/>
      <w:lvlJc w:val="left"/>
      <w:pPr>
        <w:ind w:left="5811" w:hanging="360"/>
      </w:pPr>
      <w:rPr>
        <w:rFonts w:cs="Times New Roman"/>
      </w:rPr>
    </w:lvl>
    <w:lvl w:ilvl="4" w:tentative="0">
      <w:start w:val="1"/>
      <w:numFmt w:val="lowerLetter"/>
      <w:lvlText w:val="%5."/>
      <w:lvlJc w:val="left"/>
      <w:pPr>
        <w:ind w:left="6531" w:hanging="360"/>
      </w:pPr>
      <w:rPr>
        <w:rFonts w:cs="Times New Roman"/>
      </w:rPr>
    </w:lvl>
    <w:lvl w:ilvl="5" w:tentative="0">
      <w:start w:val="1"/>
      <w:numFmt w:val="lowerRoman"/>
      <w:lvlText w:val="%6."/>
      <w:lvlJc w:val="right"/>
      <w:pPr>
        <w:ind w:left="7251" w:hanging="180"/>
      </w:pPr>
      <w:rPr>
        <w:rFonts w:cs="Times New Roman"/>
      </w:rPr>
    </w:lvl>
    <w:lvl w:ilvl="6" w:tentative="0">
      <w:start w:val="1"/>
      <w:numFmt w:val="decimal"/>
      <w:lvlText w:val="%7."/>
      <w:lvlJc w:val="left"/>
      <w:pPr>
        <w:ind w:left="7971" w:hanging="360"/>
      </w:pPr>
      <w:rPr>
        <w:rFonts w:cs="Times New Roman"/>
      </w:rPr>
    </w:lvl>
    <w:lvl w:ilvl="7" w:tentative="0">
      <w:start w:val="1"/>
      <w:numFmt w:val="lowerLetter"/>
      <w:lvlText w:val="%8."/>
      <w:lvlJc w:val="left"/>
      <w:pPr>
        <w:ind w:left="8691" w:hanging="360"/>
      </w:pPr>
      <w:rPr>
        <w:rFonts w:cs="Times New Roman"/>
      </w:rPr>
    </w:lvl>
    <w:lvl w:ilvl="8" w:tentative="0">
      <w:start w:val="1"/>
      <w:numFmt w:val="lowerRoman"/>
      <w:lvlText w:val="%9."/>
      <w:lvlJc w:val="right"/>
      <w:pPr>
        <w:ind w:left="9411" w:hanging="180"/>
      </w:pPr>
      <w:rPr>
        <w:rFonts w:cs="Times New Roman"/>
      </w:rPr>
    </w:lvl>
  </w:abstractNum>
  <w:abstractNum w:abstractNumId="67">
    <w:nsid w:val="418B3A45"/>
    <w:multiLevelType w:val="multilevel"/>
    <w:tmpl w:val="418B3A45"/>
    <w:lvl w:ilvl="0" w:tentative="0">
      <w:start w:val="1"/>
      <w:numFmt w:val="lowerLetter"/>
      <w:lvlText w:val="%1."/>
      <w:lvlJc w:val="left"/>
      <w:pPr>
        <w:ind w:left="8640" w:hanging="360"/>
      </w:pPr>
    </w:lvl>
    <w:lvl w:ilvl="1" w:tentative="0">
      <w:start w:val="1"/>
      <w:numFmt w:val="lowerLetter"/>
      <w:lvlText w:val="%2."/>
      <w:lvlJc w:val="left"/>
      <w:pPr>
        <w:ind w:left="9360" w:hanging="360"/>
      </w:pPr>
    </w:lvl>
    <w:lvl w:ilvl="2" w:tentative="0">
      <w:start w:val="1"/>
      <w:numFmt w:val="lowerRoman"/>
      <w:lvlText w:val="%3."/>
      <w:lvlJc w:val="right"/>
      <w:pPr>
        <w:ind w:left="10080" w:hanging="180"/>
      </w:pPr>
    </w:lvl>
    <w:lvl w:ilvl="3" w:tentative="0">
      <w:start w:val="1"/>
      <w:numFmt w:val="decimal"/>
      <w:lvlText w:val="%4."/>
      <w:lvlJc w:val="left"/>
      <w:pPr>
        <w:ind w:left="10800" w:hanging="360"/>
      </w:pPr>
    </w:lvl>
    <w:lvl w:ilvl="4" w:tentative="0">
      <w:start w:val="1"/>
      <w:numFmt w:val="lowerLetter"/>
      <w:lvlText w:val="%5."/>
      <w:lvlJc w:val="left"/>
      <w:pPr>
        <w:ind w:left="11520" w:hanging="360"/>
      </w:pPr>
    </w:lvl>
    <w:lvl w:ilvl="5" w:tentative="0">
      <w:start w:val="1"/>
      <w:numFmt w:val="lowerRoman"/>
      <w:lvlText w:val="%6."/>
      <w:lvlJc w:val="right"/>
      <w:pPr>
        <w:ind w:left="12240" w:hanging="180"/>
      </w:pPr>
    </w:lvl>
    <w:lvl w:ilvl="6" w:tentative="0">
      <w:start w:val="1"/>
      <w:numFmt w:val="decimal"/>
      <w:lvlText w:val="%7."/>
      <w:lvlJc w:val="left"/>
      <w:pPr>
        <w:ind w:left="12960" w:hanging="360"/>
      </w:pPr>
    </w:lvl>
    <w:lvl w:ilvl="7" w:tentative="0">
      <w:start w:val="1"/>
      <w:numFmt w:val="lowerLetter"/>
      <w:lvlText w:val="%8."/>
      <w:lvlJc w:val="left"/>
      <w:pPr>
        <w:ind w:left="13680" w:hanging="360"/>
      </w:pPr>
    </w:lvl>
    <w:lvl w:ilvl="8" w:tentative="0">
      <w:start w:val="1"/>
      <w:numFmt w:val="lowerRoman"/>
      <w:lvlText w:val="%9."/>
      <w:lvlJc w:val="right"/>
      <w:pPr>
        <w:ind w:left="14400" w:hanging="180"/>
      </w:pPr>
    </w:lvl>
  </w:abstractNum>
  <w:abstractNum w:abstractNumId="68">
    <w:nsid w:val="436D7D6E"/>
    <w:multiLevelType w:val="multilevel"/>
    <w:tmpl w:val="436D7D6E"/>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9">
    <w:nsid w:val="43B7015D"/>
    <w:multiLevelType w:val="multilevel"/>
    <w:tmpl w:val="43B7015D"/>
    <w:lvl w:ilvl="0" w:tentative="0">
      <w:start w:val="1"/>
      <w:numFmt w:val="decimal"/>
      <w:lvlText w:val="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440C3FA7"/>
    <w:multiLevelType w:val="multilevel"/>
    <w:tmpl w:val="440C3FA7"/>
    <w:lvl w:ilvl="0" w:tentative="0">
      <w:start w:val="1"/>
      <w:numFmt w:val="upperLetter"/>
      <w:pStyle w:val="2"/>
      <w:lvlText w:val="%1."/>
      <w:lvlJc w:val="left"/>
      <w:pPr>
        <w:tabs>
          <w:tab w:val="left" w:pos="360"/>
        </w:tabs>
        <w:ind w:left="36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1"/>
      <w:numFmt w:val="decimal"/>
      <w:lvlText w:val="%3."/>
      <w:lvlJc w:val="left"/>
      <w:pPr>
        <w:tabs>
          <w:tab w:val="left" w:pos="502"/>
        </w:tabs>
        <w:ind w:left="502" w:hanging="360"/>
      </w:pPr>
      <w:rPr>
        <w:rFonts w:hint="default"/>
      </w:rPr>
    </w:lvl>
    <w:lvl w:ilvl="3" w:tentative="0">
      <w:start w:val="1"/>
      <w:numFmt w:val="decimal"/>
      <w:lvlText w:val="%4."/>
      <w:lvlJc w:val="left"/>
      <w:pPr>
        <w:tabs>
          <w:tab w:val="left" w:pos="360"/>
        </w:tabs>
        <w:ind w:left="360" w:hanging="360"/>
      </w:pPr>
      <w:rPr>
        <w:rFonts w:hint="default"/>
      </w:rPr>
    </w:lvl>
    <w:lvl w:ilvl="4" w:tentative="0">
      <w:start w:val="1"/>
      <w:numFmt w:val="lowerLetter"/>
      <w:lvlText w:val="%5."/>
      <w:lvlJc w:val="left"/>
      <w:pPr>
        <w:tabs>
          <w:tab w:val="left" w:pos="3600"/>
        </w:tabs>
        <w:ind w:left="3600" w:hanging="360"/>
      </w:pPr>
      <w:rPr>
        <w:rFonts w:hint="default"/>
      </w:rPr>
    </w:lvl>
    <w:lvl w:ilvl="5" w:tentative="0">
      <w:start w:val="1"/>
      <w:numFmt w:val="lowerRoman"/>
      <w:lvlText w:val="%6."/>
      <w:lvlJc w:val="right"/>
      <w:pPr>
        <w:tabs>
          <w:tab w:val="left" w:pos="4320"/>
        </w:tabs>
        <w:ind w:left="4320" w:hanging="18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lowerLetter"/>
      <w:lvlText w:val="%8."/>
      <w:lvlJc w:val="left"/>
      <w:pPr>
        <w:tabs>
          <w:tab w:val="left" w:pos="5760"/>
        </w:tabs>
        <w:ind w:left="5760" w:hanging="360"/>
      </w:pPr>
      <w:rPr>
        <w:rFonts w:hint="default"/>
        <w:i w:val="0"/>
      </w:rPr>
    </w:lvl>
    <w:lvl w:ilvl="8" w:tentative="0">
      <w:start w:val="1"/>
      <w:numFmt w:val="lowerRoman"/>
      <w:lvlText w:val="%9."/>
      <w:lvlJc w:val="right"/>
      <w:pPr>
        <w:tabs>
          <w:tab w:val="left" w:pos="6480"/>
        </w:tabs>
        <w:ind w:left="6480" w:hanging="180"/>
      </w:pPr>
      <w:rPr>
        <w:rFonts w:hint="default"/>
      </w:rPr>
    </w:lvl>
  </w:abstractNum>
  <w:abstractNum w:abstractNumId="71">
    <w:nsid w:val="457851CE"/>
    <w:multiLevelType w:val="multilevel"/>
    <w:tmpl w:val="457851CE"/>
    <w:lvl w:ilvl="0" w:tentative="0">
      <w:start w:val="1"/>
      <w:numFmt w:val="decimal"/>
      <w:lvlText w:val="%1."/>
      <w:lvlJc w:val="left"/>
      <w:pPr>
        <w:ind w:left="1494" w:hanging="360"/>
      </w:pPr>
      <w:rPr>
        <w:rFonts w:hint="default"/>
        <w:i w:val="0"/>
        <w:sz w:val="24"/>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72">
    <w:nsid w:val="479F6213"/>
    <w:multiLevelType w:val="multilevel"/>
    <w:tmpl w:val="479F6213"/>
    <w:lvl w:ilvl="0" w:tentative="0">
      <w:start w:val="1"/>
      <w:numFmt w:val="decimal"/>
      <w:lvlText w:val="%1."/>
      <w:lvlJc w:val="left"/>
      <w:pPr>
        <w:ind w:left="617" w:hanging="360"/>
      </w:pPr>
      <w:rPr>
        <w:rFonts w:hint="default"/>
      </w:rPr>
    </w:lvl>
    <w:lvl w:ilvl="1" w:tentative="0">
      <w:start w:val="1"/>
      <w:numFmt w:val="decimal"/>
      <w:isLgl/>
      <w:lvlText w:val="%1.%2."/>
      <w:lvlJc w:val="left"/>
      <w:pPr>
        <w:ind w:left="1343" w:hanging="720"/>
      </w:pPr>
      <w:rPr>
        <w:rFonts w:hint="default"/>
      </w:rPr>
    </w:lvl>
    <w:lvl w:ilvl="2" w:tentative="0">
      <w:start w:val="2"/>
      <w:numFmt w:val="decimal"/>
      <w:isLgl/>
      <w:lvlText w:val="%1.%2.%3."/>
      <w:lvlJc w:val="left"/>
      <w:pPr>
        <w:ind w:left="1530" w:hanging="1080"/>
      </w:pPr>
      <w:rPr>
        <w:rFonts w:hint="default"/>
      </w:rPr>
    </w:lvl>
    <w:lvl w:ilvl="3" w:tentative="0">
      <w:start w:val="1"/>
      <w:numFmt w:val="decimal"/>
      <w:isLgl/>
      <w:lvlText w:val="%1.%2.%3.%4."/>
      <w:lvlJc w:val="left"/>
      <w:pPr>
        <w:ind w:left="2795" w:hanging="1440"/>
      </w:pPr>
      <w:rPr>
        <w:rFonts w:hint="default"/>
      </w:rPr>
    </w:lvl>
    <w:lvl w:ilvl="4" w:tentative="0">
      <w:start w:val="1"/>
      <w:numFmt w:val="decimal"/>
      <w:isLgl/>
      <w:lvlText w:val="%1.%2.%3.%4.%5."/>
      <w:lvlJc w:val="left"/>
      <w:pPr>
        <w:ind w:left="3161" w:hanging="1440"/>
      </w:pPr>
      <w:rPr>
        <w:rFonts w:hint="default"/>
      </w:rPr>
    </w:lvl>
    <w:lvl w:ilvl="5" w:tentative="0">
      <w:start w:val="1"/>
      <w:numFmt w:val="decimal"/>
      <w:isLgl/>
      <w:lvlText w:val="%1.%2.%3.%4.%5.%6."/>
      <w:lvlJc w:val="left"/>
      <w:pPr>
        <w:ind w:left="3887" w:hanging="1800"/>
      </w:pPr>
      <w:rPr>
        <w:rFonts w:hint="default"/>
      </w:rPr>
    </w:lvl>
    <w:lvl w:ilvl="6" w:tentative="0">
      <w:start w:val="1"/>
      <w:numFmt w:val="decimal"/>
      <w:isLgl/>
      <w:lvlText w:val="%1.%2.%3.%4.%5.%6.%7."/>
      <w:lvlJc w:val="left"/>
      <w:pPr>
        <w:ind w:left="4613" w:hanging="2160"/>
      </w:pPr>
      <w:rPr>
        <w:rFonts w:hint="default"/>
      </w:rPr>
    </w:lvl>
    <w:lvl w:ilvl="7" w:tentative="0">
      <w:start w:val="1"/>
      <w:numFmt w:val="decimal"/>
      <w:isLgl/>
      <w:lvlText w:val="%1.%2.%3.%4.%5.%6.%7.%8."/>
      <w:lvlJc w:val="left"/>
      <w:pPr>
        <w:ind w:left="5339" w:hanging="2520"/>
      </w:pPr>
      <w:rPr>
        <w:rFonts w:hint="default"/>
      </w:rPr>
    </w:lvl>
    <w:lvl w:ilvl="8" w:tentative="0">
      <w:start w:val="1"/>
      <w:numFmt w:val="decimal"/>
      <w:isLgl/>
      <w:lvlText w:val="%1.%2.%3.%4.%5.%6.%7.%8.%9."/>
      <w:lvlJc w:val="left"/>
      <w:pPr>
        <w:ind w:left="5705" w:hanging="2520"/>
      </w:pPr>
      <w:rPr>
        <w:rFonts w:hint="default"/>
      </w:rPr>
    </w:lvl>
  </w:abstractNum>
  <w:abstractNum w:abstractNumId="73">
    <w:nsid w:val="47B81FF4"/>
    <w:multiLevelType w:val="multilevel"/>
    <w:tmpl w:val="47B81FF4"/>
    <w:lvl w:ilvl="0" w:tentative="0">
      <w:start w:val="1"/>
      <w:numFmt w:val="decimal"/>
      <w:lvlText w:val="%1)"/>
      <w:lvlJc w:val="left"/>
      <w:pPr>
        <w:ind w:left="23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47CC19B3"/>
    <w:multiLevelType w:val="multilevel"/>
    <w:tmpl w:val="47CC19B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4A7F2DA2"/>
    <w:multiLevelType w:val="multilevel"/>
    <w:tmpl w:val="4A7F2DA2"/>
    <w:lvl w:ilvl="0" w:tentative="0">
      <w:start w:val="1"/>
      <w:numFmt w:val="decimal"/>
      <w:lvlText w:val="%1."/>
      <w:lvlJc w:val="left"/>
      <w:pPr>
        <w:ind w:left="946" w:hanging="360"/>
      </w:pPr>
    </w:lvl>
    <w:lvl w:ilvl="1" w:tentative="0">
      <w:start w:val="1"/>
      <w:numFmt w:val="lowerLetter"/>
      <w:lvlText w:val="%2."/>
      <w:lvlJc w:val="left"/>
      <w:pPr>
        <w:ind w:left="1666" w:hanging="360"/>
      </w:pPr>
    </w:lvl>
    <w:lvl w:ilvl="2" w:tentative="0">
      <w:start w:val="1"/>
      <w:numFmt w:val="lowerRoman"/>
      <w:lvlText w:val="%3."/>
      <w:lvlJc w:val="right"/>
      <w:pPr>
        <w:ind w:left="2386" w:hanging="180"/>
      </w:pPr>
    </w:lvl>
    <w:lvl w:ilvl="3" w:tentative="0">
      <w:start w:val="1"/>
      <w:numFmt w:val="decimal"/>
      <w:lvlText w:val="%4."/>
      <w:lvlJc w:val="left"/>
      <w:pPr>
        <w:ind w:left="3106" w:hanging="360"/>
      </w:pPr>
    </w:lvl>
    <w:lvl w:ilvl="4" w:tentative="0">
      <w:start w:val="1"/>
      <w:numFmt w:val="lowerLetter"/>
      <w:lvlText w:val="%5."/>
      <w:lvlJc w:val="left"/>
      <w:pPr>
        <w:ind w:left="3826" w:hanging="360"/>
      </w:pPr>
    </w:lvl>
    <w:lvl w:ilvl="5" w:tentative="0">
      <w:start w:val="1"/>
      <w:numFmt w:val="lowerRoman"/>
      <w:lvlText w:val="%6."/>
      <w:lvlJc w:val="right"/>
      <w:pPr>
        <w:ind w:left="4546" w:hanging="180"/>
      </w:pPr>
    </w:lvl>
    <w:lvl w:ilvl="6" w:tentative="0">
      <w:start w:val="1"/>
      <w:numFmt w:val="decimal"/>
      <w:lvlText w:val="%7."/>
      <w:lvlJc w:val="left"/>
      <w:pPr>
        <w:ind w:left="5266" w:hanging="360"/>
      </w:pPr>
    </w:lvl>
    <w:lvl w:ilvl="7" w:tentative="0">
      <w:start w:val="1"/>
      <w:numFmt w:val="lowerLetter"/>
      <w:lvlText w:val="%8."/>
      <w:lvlJc w:val="left"/>
      <w:pPr>
        <w:ind w:left="5986" w:hanging="360"/>
      </w:pPr>
    </w:lvl>
    <w:lvl w:ilvl="8" w:tentative="0">
      <w:start w:val="1"/>
      <w:numFmt w:val="lowerRoman"/>
      <w:lvlText w:val="%9."/>
      <w:lvlJc w:val="right"/>
      <w:pPr>
        <w:ind w:left="6706" w:hanging="180"/>
      </w:pPr>
    </w:lvl>
  </w:abstractNum>
  <w:abstractNum w:abstractNumId="76">
    <w:nsid w:val="4D0A3BAD"/>
    <w:multiLevelType w:val="multilevel"/>
    <w:tmpl w:val="4D0A3BAD"/>
    <w:lvl w:ilvl="0" w:tentative="0">
      <w:start w:val="3"/>
      <w:numFmt w:val="decimal"/>
      <w:lvlText w:val="%1."/>
      <w:lvlJc w:val="left"/>
      <w:pPr>
        <w:ind w:left="450" w:hanging="450"/>
      </w:pPr>
      <w:rPr>
        <w:rFonts w:hint="default"/>
      </w:rPr>
    </w:lvl>
    <w:lvl w:ilvl="1" w:tentative="0">
      <w:start w:val="4"/>
      <w:numFmt w:val="decimal"/>
      <w:lvlText w:val="%1.%2."/>
      <w:lvlJc w:val="left"/>
      <w:pPr>
        <w:ind w:left="1429" w:hanging="720"/>
      </w:pPr>
      <w:rPr>
        <w:rFonts w:hint="default"/>
      </w:rPr>
    </w:lvl>
    <w:lvl w:ilvl="2" w:tentative="0">
      <w:start w:val="1"/>
      <w:numFmt w:val="decimal"/>
      <w:lvlText w:val="%1.%2.%3."/>
      <w:lvlJc w:val="left"/>
      <w:pPr>
        <w:ind w:left="2498" w:hanging="1080"/>
      </w:pPr>
      <w:rPr>
        <w:rFonts w:hint="default"/>
        <w:b/>
      </w:rPr>
    </w:lvl>
    <w:lvl w:ilvl="3" w:tentative="0">
      <w:start w:val="1"/>
      <w:numFmt w:val="decimal"/>
      <w:lvlText w:val="%1.%2.%3.%4."/>
      <w:lvlJc w:val="left"/>
      <w:pPr>
        <w:ind w:left="3567" w:hanging="1440"/>
      </w:pPr>
      <w:rPr>
        <w:rFonts w:hint="default"/>
      </w:rPr>
    </w:lvl>
    <w:lvl w:ilvl="4" w:tentative="0">
      <w:start w:val="1"/>
      <w:numFmt w:val="decimal"/>
      <w:lvlText w:val="%1.%2.%3.%4.%5."/>
      <w:lvlJc w:val="left"/>
      <w:pPr>
        <w:ind w:left="4276" w:hanging="1440"/>
      </w:pPr>
      <w:rPr>
        <w:rFonts w:hint="default"/>
      </w:rPr>
    </w:lvl>
    <w:lvl w:ilvl="5" w:tentative="0">
      <w:start w:val="1"/>
      <w:numFmt w:val="decimal"/>
      <w:lvlText w:val="%1.%2.%3.%4.%5.%6."/>
      <w:lvlJc w:val="left"/>
      <w:pPr>
        <w:ind w:left="5345" w:hanging="1800"/>
      </w:pPr>
      <w:rPr>
        <w:rFonts w:hint="default"/>
      </w:rPr>
    </w:lvl>
    <w:lvl w:ilvl="6" w:tentative="0">
      <w:start w:val="1"/>
      <w:numFmt w:val="decimal"/>
      <w:lvlText w:val="%1.%2.%3.%4.%5.%6.%7."/>
      <w:lvlJc w:val="left"/>
      <w:pPr>
        <w:ind w:left="6414" w:hanging="2160"/>
      </w:pPr>
      <w:rPr>
        <w:rFonts w:hint="default"/>
      </w:rPr>
    </w:lvl>
    <w:lvl w:ilvl="7" w:tentative="0">
      <w:start w:val="1"/>
      <w:numFmt w:val="decimal"/>
      <w:lvlText w:val="%1.%2.%3.%4.%5.%6.%7.%8."/>
      <w:lvlJc w:val="left"/>
      <w:pPr>
        <w:ind w:left="7483" w:hanging="2520"/>
      </w:pPr>
      <w:rPr>
        <w:rFonts w:hint="default"/>
      </w:rPr>
    </w:lvl>
    <w:lvl w:ilvl="8" w:tentative="0">
      <w:start w:val="1"/>
      <w:numFmt w:val="decimal"/>
      <w:lvlText w:val="%1.%2.%3.%4.%5.%6.%7.%8.%9."/>
      <w:lvlJc w:val="left"/>
      <w:pPr>
        <w:ind w:left="8192" w:hanging="2520"/>
      </w:pPr>
      <w:rPr>
        <w:rFonts w:hint="default"/>
      </w:rPr>
    </w:lvl>
  </w:abstractNum>
  <w:abstractNum w:abstractNumId="77">
    <w:nsid w:val="4DF91E9F"/>
    <w:multiLevelType w:val="multilevel"/>
    <w:tmpl w:val="4DF91E9F"/>
    <w:lvl w:ilvl="0" w:tentative="0">
      <w:start w:val="2"/>
      <w:numFmt w:val="decimal"/>
      <w:lvlText w:val="%1."/>
      <w:lvlJc w:val="left"/>
      <w:pPr>
        <w:ind w:left="390" w:hanging="390"/>
      </w:pPr>
      <w:rPr>
        <w:rFonts w:hint="default"/>
      </w:rPr>
    </w:lvl>
    <w:lvl w:ilvl="1" w:tentative="0">
      <w:start w:val="1"/>
      <w:numFmt w:val="decimal"/>
      <w:lvlText w:val="%1.%2."/>
      <w:lvlJc w:val="left"/>
      <w:pPr>
        <w:ind w:left="1080" w:hanging="720"/>
      </w:pPr>
      <w:rPr>
        <w:rFonts w:hint="default"/>
      </w:rPr>
    </w:lvl>
    <w:lvl w:ilvl="2" w:tentative="0">
      <w:start w:val="1"/>
      <w:numFmt w:val="decimal"/>
      <w:lvlText w:val="%3."/>
      <w:lvlJc w:val="left"/>
      <w:pPr>
        <w:ind w:left="1440" w:hanging="720"/>
      </w:pPr>
      <w:rPr>
        <w:rFonts w:hint="default"/>
        <w:color w:val="auto"/>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78">
    <w:nsid w:val="4E926AF8"/>
    <w:multiLevelType w:val="multilevel"/>
    <w:tmpl w:val="4E926A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9">
    <w:nsid w:val="4FB4030C"/>
    <w:multiLevelType w:val="multilevel"/>
    <w:tmpl w:val="4FB4030C"/>
    <w:lvl w:ilvl="0" w:tentative="0">
      <w:start w:val="1"/>
      <w:numFmt w:val="decimal"/>
      <w:lvlText w:val="%1)"/>
      <w:lvlJc w:val="left"/>
      <w:pPr>
        <w:ind w:left="1080" w:hanging="360"/>
      </w:pPr>
      <w:rPr>
        <w:rFonts w:hint="default" w:ascii="Tahoma" w:hAnsi="Tahoma" w:cs="Tahoma"/>
        <w:color w:val="000000" w:themeColor="dark1"/>
        <w:sz w:val="24"/>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0">
    <w:nsid w:val="503B2E28"/>
    <w:multiLevelType w:val="multilevel"/>
    <w:tmpl w:val="503B2E28"/>
    <w:lvl w:ilvl="0" w:tentative="0">
      <w:start w:val="1"/>
      <w:numFmt w:val="decimal"/>
      <w:lvlText w:val="%1."/>
      <w:lvlJc w:val="left"/>
      <w:pPr>
        <w:ind w:left="4755" w:hanging="360"/>
      </w:pPr>
      <w:rPr>
        <w:rFonts w:ascii="Bookman Old Style" w:hAnsi="Bookman Old Style" w:eastAsia="Times New Roman" w:cs="Tahoma"/>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81">
    <w:nsid w:val="511B4E16"/>
    <w:multiLevelType w:val="multilevel"/>
    <w:tmpl w:val="511B4E16"/>
    <w:lvl w:ilvl="0" w:tentative="0">
      <w:start w:val="4"/>
      <w:numFmt w:val="decimal"/>
      <w:lvlText w:val="%1."/>
      <w:lvlJc w:val="left"/>
      <w:pPr>
        <w:ind w:left="450" w:hanging="450"/>
      </w:pPr>
      <w:rPr>
        <w:rFonts w:hint="default"/>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207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82">
    <w:nsid w:val="528E4EF0"/>
    <w:multiLevelType w:val="multilevel"/>
    <w:tmpl w:val="528E4EF0"/>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83">
    <w:nsid w:val="536E5F86"/>
    <w:multiLevelType w:val="multilevel"/>
    <w:tmpl w:val="536E5F8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4">
    <w:nsid w:val="53C044AA"/>
    <w:multiLevelType w:val="multilevel"/>
    <w:tmpl w:val="53C044AA"/>
    <w:lvl w:ilvl="0" w:tentative="0">
      <w:start w:val="1"/>
      <w:numFmt w:val="decimal"/>
      <w:lvlText w:val="%1)"/>
      <w:lvlJc w:val="left"/>
      <w:pPr>
        <w:ind w:left="3651" w:hanging="360"/>
      </w:pPr>
    </w:lvl>
    <w:lvl w:ilvl="1" w:tentative="0">
      <w:start w:val="1"/>
      <w:numFmt w:val="lowerLetter"/>
      <w:lvlText w:val="%2."/>
      <w:lvlJc w:val="left"/>
      <w:pPr>
        <w:ind w:left="4371" w:hanging="360"/>
      </w:pPr>
      <w:rPr>
        <w:rFonts w:cs="Times New Roman"/>
      </w:rPr>
    </w:lvl>
    <w:lvl w:ilvl="2" w:tentative="0">
      <w:start w:val="1"/>
      <w:numFmt w:val="lowerRoman"/>
      <w:lvlText w:val="%3."/>
      <w:lvlJc w:val="right"/>
      <w:pPr>
        <w:ind w:left="5091" w:hanging="180"/>
      </w:pPr>
      <w:rPr>
        <w:rFonts w:cs="Times New Roman"/>
      </w:rPr>
    </w:lvl>
    <w:lvl w:ilvl="3" w:tentative="0">
      <w:start w:val="1"/>
      <w:numFmt w:val="decimal"/>
      <w:lvlText w:val="%4."/>
      <w:lvlJc w:val="left"/>
      <w:pPr>
        <w:ind w:left="5811" w:hanging="360"/>
      </w:pPr>
      <w:rPr>
        <w:rFonts w:cs="Times New Roman"/>
      </w:rPr>
    </w:lvl>
    <w:lvl w:ilvl="4" w:tentative="0">
      <w:start w:val="1"/>
      <w:numFmt w:val="lowerLetter"/>
      <w:lvlText w:val="%5."/>
      <w:lvlJc w:val="left"/>
      <w:pPr>
        <w:ind w:left="6531" w:hanging="360"/>
      </w:pPr>
      <w:rPr>
        <w:rFonts w:cs="Times New Roman"/>
      </w:rPr>
    </w:lvl>
    <w:lvl w:ilvl="5" w:tentative="0">
      <w:start w:val="1"/>
      <w:numFmt w:val="lowerRoman"/>
      <w:lvlText w:val="%6."/>
      <w:lvlJc w:val="right"/>
      <w:pPr>
        <w:ind w:left="7251" w:hanging="180"/>
      </w:pPr>
      <w:rPr>
        <w:rFonts w:cs="Times New Roman"/>
      </w:rPr>
    </w:lvl>
    <w:lvl w:ilvl="6" w:tentative="0">
      <w:start w:val="1"/>
      <w:numFmt w:val="decimal"/>
      <w:lvlText w:val="%7."/>
      <w:lvlJc w:val="left"/>
      <w:pPr>
        <w:ind w:left="7971" w:hanging="360"/>
      </w:pPr>
      <w:rPr>
        <w:rFonts w:cs="Times New Roman"/>
      </w:rPr>
    </w:lvl>
    <w:lvl w:ilvl="7" w:tentative="0">
      <w:start w:val="1"/>
      <w:numFmt w:val="lowerLetter"/>
      <w:lvlText w:val="%8."/>
      <w:lvlJc w:val="left"/>
      <w:pPr>
        <w:ind w:left="8691" w:hanging="360"/>
      </w:pPr>
      <w:rPr>
        <w:rFonts w:cs="Times New Roman"/>
      </w:rPr>
    </w:lvl>
    <w:lvl w:ilvl="8" w:tentative="0">
      <w:start w:val="1"/>
      <w:numFmt w:val="lowerRoman"/>
      <w:lvlText w:val="%9."/>
      <w:lvlJc w:val="right"/>
      <w:pPr>
        <w:ind w:left="9411" w:hanging="180"/>
      </w:pPr>
      <w:rPr>
        <w:rFonts w:cs="Times New Roman"/>
      </w:rPr>
    </w:lvl>
  </w:abstractNum>
  <w:abstractNum w:abstractNumId="85">
    <w:nsid w:val="53D4316E"/>
    <w:multiLevelType w:val="multilevel"/>
    <w:tmpl w:val="53D4316E"/>
    <w:lvl w:ilvl="0" w:tentative="0">
      <w:start w:val="3"/>
      <w:numFmt w:val="decimal"/>
      <w:lvlText w:val="%1."/>
      <w:lvlJc w:val="left"/>
      <w:pPr>
        <w:ind w:left="420" w:hanging="420"/>
      </w:pPr>
      <w:rPr>
        <w:rFonts w:hint="default"/>
      </w:rPr>
    </w:lvl>
    <w:lvl w:ilvl="1" w:tentative="0">
      <w:start w:val="1"/>
      <w:numFmt w:val="decimal"/>
      <w:lvlText w:val="%1.%2."/>
      <w:lvlJc w:val="left"/>
      <w:pPr>
        <w:ind w:left="2145" w:hanging="720"/>
      </w:pPr>
      <w:rPr>
        <w:rFonts w:hint="default"/>
      </w:rPr>
    </w:lvl>
    <w:lvl w:ilvl="2" w:tentative="0">
      <w:start w:val="1"/>
      <w:numFmt w:val="decimal"/>
      <w:lvlText w:val="%1.%2.%3."/>
      <w:lvlJc w:val="left"/>
      <w:pPr>
        <w:ind w:left="3930" w:hanging="1080"/>
      </w:pPr>
      <w:rPr>
        <w:rFonts w:hint="default"/>
      </w:rPr>
    </w:lvl>
    <w:lvl w:ilvl="3" w:tentative="0">
      <w:start w:val="1"/>
      <w:numFmt w:val="decimal"/>
      <w:lvlText w:val="%1.%2.%3.%4."/>
      <w:lvlJc w:val="left"/>
      <w:pPr>
        <w:ind w:left="5355" w:hanging="1080"/>
      </w:pPr>
      <w:rPr>
        <w:rFonts w:hint="default"/>
      </w:rPr>
    </w:lvl>
    <w:lvl w:ilvl="4" w:tentative="0">
      <w:start w:val="1"/>
      <w:numFmt w:val="decimal"/>
      <w:lvlText w:val="%1.%2.%3.%4.%5."/>
      <w:lvlJc w:val="left"/>
      <w:pPr>
        <w:ind w:left="7140" w:hanging="1440"/>
      </w:pPr>
      <w:rPr>
        <w:rFonts w:hint="default"/>
      </w:rPr>
    </w:lvl>
    <w:lvl w:ilvl="5" w:tentative="0">
      <w:start w:val="1"/>
      <w:numFmt w:val="decimal"/>
      <w:lvlText w:val="%1.%2.%3.%4.%5.%6."/>
      <w:lvlJc w:val="left"/>
      <w:pPr>
        <w:ind w:left="8925" w:hanging="1800"/>
      </w:pPr>
      <w:rPr>
        <w:rFonts w:hint="default"/>
      </w:rPr>
    </w:lvl>
    <w:lvl w:ilvl="6" w:tentative="0">
      <w:start w:val="1"/>
      <w:numFmt w:val="decimal"/>
      <w:lvlText w:val="%1.%2.%3.%4.%5.%6.%7."/>
      <w:lvlJc w:val="left"/>
      <w:pPr>
        <w:ind w:left="10350" w:hanging="1800"/>
      </w:pPr>
      <w:rPr>
        <w:rFonts w:hint="default"/>
      </w:rPr>
    </w:lvl>
    <w:lvl w:ilvl="7" w:tentative="0">
      <w:start w:val="1"/>
      <w:numFmt w:val="decimal"/>
      <w:lvlText w:val="%1.%2.%3.%4.%5.%6.%7.%8."/>
      <w:lvlJc w:val="left"/>
      <w:pPr>
        <w:ind w:left="12135" w:hanging="2160"/>
      </w:pPr>
      <w:rPr>
        <w:rFonts w:hint="default"/>
      </w:rPr>
    </w:lvl>
    <w:lvl w:ilvl="8" w:tentative="0">
      <w:start w:val="1"/>
      <w:numFmt w:val="decimal"/>
      <w:lvlText w:val="%1.%2.%3.%4.%5.%6.%7.%8.%9."/>
      <w:lvlJc w:val="left"/>
      <w:pPr>
        <w:ind w:left="13920" w:hanging="2520"/>
      </w:pPr>
      <w:rPr>
        <w:rFonts w:hint="default"/>
      </w:rPr>
    </w:lvl>
  </w:abstractNum>
  <w:abstractNum w:abstractNumId="86">
    <w:nsid w:val="54922D98"/>
    <w:multiLevelType w:val="multilevel"/>
    <w:tmpl w:val="54922D98"/>
    <w:lvl w:ilvl="0" w:tentative="0">
      <w:start w:val="1"/>
      <w:numFmt w:val="decimal"/>
      <w:lvlText w:val="%1."/>
      <w:lvlJc w:val="left"/>
      <w:pPr>
        <w:ind w:left="861" w:hanging="435"/>
      </w:pPr>
      <w:rPr>
        <w:rFonts w:hint="default" w:ascii="Tahoma" w:hAnsi="Tahoma" w:eastAsia="Times New Roman" w:cs="Tahoma"/>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87">
    <w:nsid w:val="54CE1E41"/>
    <w:multiLevelType w:val="multilevel"/>
    <w:tmpl w:val="54CE1E4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565C4AB0"/>
    <w:multiLevelType w:val="multilevel"/>
    <w:tmpl w:val="565C4AB0"/>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9">
    <w:nsid w:val="571E57AF"/>
    <w:multiLevelType w:val="multilevel"/>
    <w:tmpl w:val="571E57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572D2BB9"/>
    <w:multiLevelType w:val="multilevel"/>
    <w:tmpl w:val="572D2BB9"/>
    <w:lvl w:ilvl="0" w:tentative="0">
      <w:start w:val="1"/>
      <w:numFmt w:val="decimal"/>
      <w:lvlText w:val="%1."/>
      <w:lvlJc w:val="left"/>
      <w:pPr>
        <w:ind w:left="720" w:hanging="360"/>
      </w:pPr>
      <w:rPr>
        <w:rFonts w:hint="default"/>
        <w:b w:val="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57BE4B63"/>
    <w:multiLevelType w:val="multilevel"/>
    <w:tmpl w:val="57BE4B63"/>
    <w:lvl w:ilvl="0" w:tentative="0">
      <w:start w:val="1"/>
      <w:numFmt w:val="decimal"/>
      <w:lvlText w:val="%1."/>
      <w:lvlJc w:val="left"/>
      <w:pPr>
        <w:ind w:left="617" w:hanging="360"/>
      </w:pPr>
      <w:rPr>
        <w:rFonts w:hint="default"/>
      </w:rPr>
    </w:lvl>
    <w:lvl w:ilvl="1" w:tentative="0">
      <w:start w:val="1"/>
      <w:numFmt w:val="decimal"/>
      <w:isLgl/>
      <w:lvlText w:val="%1.%2."/>
      <w:lvlJc w:val="left"/>
      <w:pPr>
        <w:ind w:left="1343" w:hanging="720"/>
      </w:pPr>
      <w:rPr>
        <w:rFonts w:hint="default"/>
      </w:rPr>
    </w:lvl>
    <w:lvl w:ilvl="2" w:tentative="0">
      <w:start w:val="2"/>
      <w:numFmt w:val="decimal"/>
      <w:isLgl/>
      <w:lvlText w:val="%1.%2.%3."/>
      <w:lvlJc w:val="left"/>
      <w:pPr>
        <w:ind w:left="1530" w:hanging="1080"/>
      </w:pPr>
      <w:rPr>
        <w:rFonts w:hint="default"/>
      </w:rPr>
    </w:lvl>
    <w:lvl w:ilvl="3" w:tentative="0">
      <w:start w:val="1"/>
      <w:numFmt w:val="decimal"/>
      <w:isLgl/>
      <w:lvlText w:val="%1.%2.%3.%4."/>
      <w:lvlJc w:val="left"/>
      <w:pPr>
        <w:ind w:left="2795" w:hanging="1440"/>
      </w:pPr>
      <w:rPr>
        <w:rFonts w:hint="default"/>
      </w:rPr>
    </w:lvl>
    <w:lvl w:ilvl="4" w:tentative="0">
      <w:start w:val="1"/>
      <w:numFmt w:val="decimal"/>
      <w:isLgl/>
      <w:lvlText w:val="%1.%2.%3.%4.%5."/>
      <w:lvlJc w:val="left"/>
      <w:pPr>
        <w:ind w:left="3161" w:hanging="1440"/>
      </w:pPr>
      <w:rPr>
        <w:rFonts w:hint="default"/>
      </w:rPr>
    </w:lvl>
    <w:lvl w:ilvl="5" w:tentative="0">
      <w:start w:val="1"/>
      <w:numFmt w:val="decimal"/>
      <w:isLgl/>
      <w:lvlText w:val="%1.%2.%3.%4.%5.%6."/>
      <w:lvlJc w:val="left"/>
      <w:pPr>
        <w:ind w:left="3887" w:hanging="1800"/>
      </w:pPr>
      <w:rPr>
        <w:rFonts w:hint="default"/>
      </w:rPr>
    </w:lvl>
    <w:lvl w:ilvl="6" w:tentative="0">
      <w:start w:val="1"/>
      <w:numFmt w:val="decimal"/>
      <w:isLgl/>
      <w:lvlText w:val="%1.%2.%3.%4.%5.%6.%7."/>
      <w:lvlJc w:val="left"/>
      <w:pPr>
        <w:ind w:left="4613" w:hanging="2160"/>
      </w:pPr>
      <w:rPr>
        <w:rFonts w:hint="default"/>
      </w:rPr>
    </w:lvl>
    <w:lvl w:ilvl="7" w:tentative="0">
      <w:start w:val="1"/>
      <w:numFmt w:val="decimal"/>
      <w:isLgl/>
      <w:lvlText w:val="%1.%2.%3.%4.%5.%6.%7.%8."/>
      <w:lvlJc w:val="left"/>
      <w:pPr>
        <w:ind w:left="5339" w:hanging="2520"/>
      </w:pPr>
      <w:rPr>
        <w:rFonts w:hint="default"/>
      </w:rPr>
    </w:lvl>
    <w:lvl w:ilvl="8" w:tentative="0">
      <w:start w:val="1"/>
      <w:numFmt w:val="decimal"/>
      <w:isLgl/>
      <w:lvlText w:val="%1.%2.%3.%4.%5.%6.%7.%8.%9."/>
      <w:lvlJc w:val="left"/>
      <w:pPr>
        <w:ind w:left="5705" w:hanging="2520"/>
      </w:pPr>
      <w:rPr>
        <w:rFonts w:hint="default"/>
      </w:rPr>
    </w:lvl>
  </w:abstractNum>
  <w:abstractNum w:abstractNumId="92">
    <w:nsid w:val="58921CF1"/>
    <w:multiLevelType w:val="multilevel"/>
    <w:tmpl w:val="58921CF1"/>
    <w:lvl w:ilvl="0" w:tentative="0">
      <w:start w:val="1"/>
      <w:numFmt w:val="decimal"/>
      <w:lvlText w:val="%1)"/>
      <w:lvlJc w:val="left"/>
      <w:pPr>
        <w:ind w:left="1080" w:hanging="360"/>
      </w:pPr>
      <w:rPr>
        <w:rFonts w:hint="default"/>
        <w:color w:val="000000" w:themeColor="dark1"/>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3">
    <w:nsid w:val="5A4A06E7"/>
    <w:multiLevelType w:val="multilevel"/>
    <w:tmpl w:val="5A4A06E7"/>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94">
    <w:nsid w:val="5B191161"/>
    <w:multiLevelType w:val="multilevel"/>
    <w:tmpl w:val="5B19116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5B964401"/>
    <w:multiLevelType w:val="multilevel"/>
    <w:tmpl w:val="5B964401"/>
    <w:lvl w:ilvl="0" w:tentative="0">
      <w:start w:val="1"/>
      <w:numFmt w:val="decimal"/>
      <w:lvlText w:val="%1)"/>
      <w:lvlJc w:val="left"/>
      <w:pPr>
        <w:ind w:left="786" w:hanging="360"/>
      </w:pPr>
      <w:rPr>
        <w:rFonts w:hint="default" w:ascii="Tahoma" w:hAnsi="Tahoma" w:cs="Tahoma"/>
        <w:b w:val="0"/>
        <w:color w:val="000000" w:themeColor="dark1"/>
        <w14:textFill>
          <w14:solidFill>
            <w14:schemeClr w14:val="dk1"/>
          </w14:solidFill>
        </w14:textFill>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96">
    <w:nsid w:val="5C6E2C9C"/>
    <w:multiLevelType w:val="multilevel"/>
    <w:tmpl w:val="5C6E2C9C"/>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97">
    <w:nsid w:val="5D2F138B"/>
    <w:multiLevelType w:val="multilevel"/>
    <w:tmpl w:val="5D2F138B"/>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98">
    <w:nsid w:val="5D6A6ED7"/>
    <w:multiLevelType w:val="multilevel"/>
    <w:tmpl w:val="5D6A6ED7"/>
    <w:lvl w:ilvl="0" w:tentative="0">
      <w:start w:val="0"/>
      <w:numFmt w:val="bullet"/>
      <w:lvlText w:val="-"/>
      <w:lvlJc w:val="left"/>
      <w:pPr>
        <w:ind w:left="360" w:hanging="360"/>
      </w:pPr>
      <w:rPr>
        <w:rFonts w:hint="default" w:ascii="Arial" w:hAnsi="Arial" w:eastAsia="Calibri"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9">
    <w:nsid w:val="5D874E3E"/>
    <w:multiLevelType w:val="multilevel"/>
    <w:tmpl w:val="5D874E3E"/>
    <w:lvl w:ilvl="0" w:tentative="0">
      <w:start w:val="1"/>
      <w:numFmt w:val="decimal"/>
      <w:lvlText w:val="%1."/>
      <w:lvlJc w:val="left"/>
      <w:pPr>
        <w:ind w:left="1494" w:hanging="360"/>
      </w:pPr>
      <w:rPr>
        <w:rFonts w:hint="default" w:ascii="Tahoma" w:hAnsi="Tahoma" w:cs="Tahoma"/>
        <w:b w:val="0"/>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00">
    <w:nsid w:val="5D9B5693"/>
    <w:multiLevelType w:val="multilevel"/>
    <w:tmpl w:val="5D9B569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1">
    <w:nsid w:val="604178C3"/>
    <w:multiLevelType w:val="multilevel"/>
    <w:tmpl w:val="604178C3"/>
    <w:lvl w:ilvl="0" w:tentative="0">
      <w:start w:val="1"/>
      <w:numFmt w:val="decimal"/>
      <w:lvlText w:val="%1."/>
      <w:lvlJc w:val="left"/>
      <w:pPr>
        <w:ind w:left="1789" w:hanging="360"/>
      </w:pPr>
      <w:rPr>
        <w:rFonts w:hint="default"/>
      </w:rPr>
    </w:lvl>
    <w:lvl w:ilvl="1" w:tentative="0">
      <w:start w:val="1"/>
      <w:numFmt w:val="lowerLetter"/>
      <w:lvlText w:val="%2."/>
      <w:lvlJc w:val="left"/>
      <w:pPr>
        <w:ind w:left="2509" w:hanging="360"/>
      </w:pPr>
    </w:lvl>
    <w:lvl w:ilvl="2" w:tentative="0">
      <w:start w:val="1"/>
      <w:numFmt w:val="lowerRoman"/>
      <w:lvlText w:val="%3."/>
      <w:lvlJc w:val="right"/>
      <w:pPr>
        <w:ind w:left="3229" w:hanging="180"/>
      </w:pPr>
    </w:lvl>
    <w:lvl w:ilvl="3" w:tentative="0">
      <w:start w:val="1"/>
      <w:numFmt w:val="decimal"/>
      <w:lvlText w:val="%4."/>
      <w:lvlJc w:val="left"/>
      <w:pPr>
        <w:ind w:left="3949" w:hanging="360"/>
      </w:pPr>
    </w:lvl>
    <w:lvl w:ilvl="4" w:tentative="0">
      <w:start w:val="1"/>
      <w:numFmt w:val="lowerLetter"/>
      <w:lvlText w:val="%5."/>
      <w:lvlJc w:val="left"/>
      <w:pPr>
        <w:ind w:left="4669" w:hanging="360"/>
      </w:pPr>
    </w:lvl>
    <w:lvl w:ilvl="5" w:tentative="0">
      <w:start w:val="1"/>
      <w:numFmt w:val="lowerRoman"/>
      <w:lvlText w:val="%6."/>
      <w:lvlJc w:val="right"/>
      <w:pPr>
        <w:ind w:left="5389" w:hanging="180"/>
      </w:pPr>
    </w:lvl>
    <w:lvl w:ilvl="6" w:tentative="0">
      <w:start w:val="1"/>
      <w:numFmt w:val="decimal"/>
      <w:lvlText w:val="%7."/>
      <w:lvlJc w:val="left"/>
      <w:pPr>
        <w:ind w:left="6109" w:hanging="360"/>
      </w:pPr>
    </w:lvl>
    <w:lvl w:ilvl="7" w:tentative="0">
      <w:start w:val="1"/>
      <w:numFmt w:val="lowerLetter"/>
      <w:lvlText w:val="%8."/>
      <w:lvlJc w:val="left"/>
      <w:pPr>
        <w:ind w:left="6829" w:hanging="360"/>
      </w:pPr>
    </w:lvl>
    <w:lvl w:ilvl="8" w:tentative="0">
      <w:start w:val="1"/>
      <w:numFmt w:val="lowerRoman"/>
      <w:lvlText w:val="%9."/>
      <w:lvlJc w:val="right"/>
      <w:pPr>
        <w:ind w:left="7549" w:hanging="180"/>
      </w:pPr>
    </w:lvl>
  </w:abstractNum>
  <w:abstractNum w:abstractNumId="102">
    <w:nsid w:val="6206584B"/>
    <w:multiLevelType w:val="multilevel"/>
    <w:tmpl w:val="6206584B"/>
    <w:lvl w:ilvl="0" w:tentative="0">
      <w:start w:val="3"/>
      <w:numFmt w:val="bullet"/>
      <w:lvlText w:val="-"/>
      <w:lvlJc w:val="left"/>
      <w:pPr>
        <w:ind w:left="720" w:hanging="360"/>
      </w:pPr>
      <w:rPr>
        <w:rFonts w:hint="default" w:ascii="Tahoma" w:hAnsi="Tahoma" w:eastAsia="Times New Roman"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2256B95"/>
    <w:multiLevelType w:val="multilevel"/>
    <w:tmpl w:val="62256B95"/>
    <w:lvl w:ilvl="0" w:tentative="0">
      <w:start w:val="1"/>
      <w:numFmt w:val="decimal"/>
      <w:lvlText w:val="%1."/>
      <w:lvlJc w:val="left"/>
      <w:pPr>
        <w:ind w:left="617" w:hanging="360"/>
      </w:pPr>
      <w:rPr>
        <w:rFonts w:hint="default"/>
      </w:rPr>
    </w:lvl>
    <w:lvl w:ilvl="1" w:tentative="0">
      <w:start w:val="1"/>
      <w:numFmt w:val="lowerLetter"/>
      <w:lvlText w:val="%2."/>
      <w:lvlJc w:val="left"/>
      <w:pPr>
        <w:ind w:left="1337" w:hanging="360"/>
      </w:pPr>
    </w:lvl>
    <w:lvl w:ilvl="2" w:tentative="0">
      <w:start w:val="1"/>
      <w:numFmt w:val="lowerRoman"/>
      <w:lvlText w:val="%3."/>
      <w:lvlJc w:val="right"/>
      <w:pPr>
        <w:ind w:left="2057" w:hanging="180"/>
      </w:pPr>
    </w:lvl>
    <w:lvl w:ilvl="3" w:tentative="0">
      <w:start w:val="1"/>
      <w:numFmt w:val="decimal"/>
      <w:lvlText w:val="%4."/>
      <w:lvlJc w:val="left"/>
      <w:pPr>
        <w:ind w:left="2777" w:hanging="360"/>
      </w:pPr>
    </w:lvl>
    <w:lvl w:ilvl="4" w:tentative="0">
      <w:start w:val="1"/>
      <w:numFmt w:val="lowerLetter"/>
      <w:lvlText w:val="%5."/>
      <w:lvlJc w:val="left"/>
      <w:pPr>
        <w:ind w:left="3497" w:hanging="360"/>
      </w:pPr>
    </w:lvl>
    <w:lvl w:ilvl="5" w:tentative="0">
      <w:start w:val="1"/>
      <w:numFmt w:val="lowerRoman"/>
      <w:lvlText w:val="%6."/>
      <w:lvlJc w:val="right"/>
      <w:pPr>
        <w:ind w:left="4217" w:hanging="180"/>
      </w:pPr>
    </w:lvl>
    <w:lvl w:ilvl="6" w:tentative="0">
      <w:start w:val="1"/>
      <w:numFmt w:val="decimal"/>
      <w:lvlText w:val="%7."/>
      <w:lvlJc w:val="left"/>
      <w:pPr>
        <w:ind w:left="4937" w:hanging="360"/>
      </w:pPr>
    </w:lvl>
    <w:lvl w:ilvl="7" w:tentative="0">
      <w:start w:val="1"/>
      <w:numFmt w:val="lowerLetter"/>
      <w:lvlText w:val="%8."/>
      <w:lvlJc w:val="left"/>
      <w:pPr>
        <w:ind w:left="5657" w:hanging="360"/>
      </w:pPr>
    </w:lvl>
    <w:lvl w:ilvl="8" w:tentative="0">
      <w:start w:val="1"/>
      <w:numFmt w:val="lowerRoman"/>
      <w:lvlText w:val="%9."/>
      <w:lvlJc w:val="right"/>
      <w:pPr>
        <w:ind w:left="6377" w:hanging="180"/>
      </w:pPr>
    </w:lvl>
  </w:abstractNum>
  <w:abstractNum w:abstractNumId="104">
    <w:nsid w:val="63243A53"/>
    <w:multiLevelType w:val="multilevel"/>
    <w:tmpl w:val="63243A53"/>
    <w:lvl w:ilvl="0" w:tentative="0">
      <w:start w:val="1"/>
      <w:numFmt w:val="decimal"/>
      <w:lvlText w:val="%1)"/>
      <w:lvlJc w:val="left"/>
      <w:pPr>
        <w:ind w:left="1080" w:hanging="360"/>
      </w:pPr>
      <w:rPr>
        <w:rFonts w:hint="default"/>
        <w:color w:val="000000" w:themeColor="dark1"/>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5">
    <w:nsid w:val="63353492"/>
    <w:multiLevelType w:val="multilevel"/>
    <w:tmpl w:val="63353492"/>
    <w:lvl w:ilvl="0" w:tentative="0">
      <w:start w:val="1"/>
      <w:numFmt w:val="decimal"/>
      <w:lvlText w:val="%1."/>
      <w:lvlJc w:val="left"/>
      <w:pPr>
        <w:ind w:left="1211" w:hanging="360"/>
      </w:pPr>
      <w:rPr>
        <w:rFonts w:hint="default"/>
      </w:rPr>
    </w:lvl>
    <w:lvl w:ilvl="1" w:tentative="0">
      <w:start w:val="1"/>
      <w:numFmt w:val="decimal"/>
      <w:isLgl/>
      <w:lvlText w:val="%1.%2."/>
      <w:lvlJc w:val="left"/>
      <w:pPr>
        <w:ind w:left="1571" w:hanging="720"/>
      </w:pPr>
      <w:rPr>
        <w:rFonts w:hint="default"/>
      </w:rPr>
    </w:lvl>
    <w:lvl w:ilvl="2" w:tentative="0">
      <w:start w:val="1"/>
      <w:numFmt w:val="decimalZero"/>
      <w:isLgl/>
      <w:lvlText w:val="%1.%2.%3."/>
      <w:lvlJc w:val="left"/>
      <w:pPr>
        <w:ind w:left="1571" w:hanging="720"/>
      </w:pPr>
      <w:rPr>
        <w:rFonts w:hint="default"/>
      </w:rPr>
    </w:lvl>
    <w:lvl w:ilvl="3" w:tentative="0">
      <w:start w:val="1"/>
      <w:numFmt w:val="decimalZero"/>
      <w:isLgl/>
      <w:lvlText w:val="%1.%2.%3.%4."/>
      <w:lvlJc w:val="left"/>
      <w:pPr>
        <w:ind w:left="1931" w:hanging="1080"/>
      </w:pPr>
      <w:rPr>
        <w:rFonts w:hint="default"/>
      </w:rPr>
    </w:lvl>
    <w:lvl w:ilvl="4" w:tentative="0">
      <w:start w:val="1"/>
      <w:numFmt w:val="decimal"/>
      <w:isLgl/>
      <w:lvlText w:val="%1.%2.%3.%4.%5."/>
      <w:lvlJc w:val="left"/>
      <w:pPr>
        <w:ind w:left="1931" w:hanging="1080"/>
      </w:pPr>
      <w:rPr>
        <w:rFonts w:hint="default"/>
      </w:rPr>
    </w:lvl>
    <w:lvl w:ilvl="5" w:tentative="0">
      <w:start w:val="1"/>
      <w:numFmt w:val="decimal"/>
      <w:isLgl/>
      <w:lvlText w:val="%1.%2.%3.%4.%5.%6."/>
      <w:lvlJc w:val="left"/>
      <w:pPr>
        <w:ind w:left="2291" w:hanging="1440"/>
      </w:pPr>
      <w:rPr>
        <w:rFonts w:hint="default"/>
      </w:rPr>
    </w:lvl>
    <w:lvl w:ilvl="6" w:tentative="0">
      <w:start w:val="1"/>
      <w:numFmt w:val="decimal"/>
      <w:isLgl/>
      <w:lvlText w:val="%1.%2.%3.%4.%5.%6.%7."/>
      <w:lvlJc w:val="left"/>
      <w:pPr>
        <w:ind w:left="2291" w:hanging="1440"/>
      </w:pPr>
      <w:rPr>
        <w:rFonts w:hint="default"/>
      </w:rPr>
    </w:lvl>
    <w:lvl w:ilvl="7" w:tentative="0">
      <w:start w:val="1"/>
      <w:numFmt w:val="decimal"/>
      <w:isLgl/>
      <w:lvlText w:val="%1.%2.%3.%4.%5.%6.%7.%8."/>
      <w:lvlJc w:val="left"/>
      <w:pPr>
        <w:ind w:left="2651" w:hanging="1800"/>
      </w:pPr>
      <w:rPr>
        <w:rFonts w:hint="default"/>
      </w:rPr>
    </w:lvl>
    <w:lvl w:ilvl="8" w:tentative="0">
      <w:start w:val="1"/>
      <w:numFmt w:val="decimal"/>
      <w:isLgl/>
      <w:lvlText w:val="%1.%2.%3.%4.%5.%6.%7.%8.%9."/>
      <w:lvlJc w:val="left"/>
      <w:pPr>
        <w:ind w:left="2651" w:hanging="1800"/>
      </w:pPr>
      <w:rPr>
        <w:rFonts w:hint="default"/>
      </w:rPr>
    </w:lvl>
  </w:abstractNum>
  <w:abstractNum w:abstractNumId="106">
    <w:nsid w:val="64834340"/>
    <w:multiLevelType w:val="multilevel"/>
    <w:tmpl w:val="64834340"/>
    <w:lvl w:ilvl="0" w:tentative="0">
      <w:start w:val="1"/>
      <w:numFmt w:val="decimal"/>
      <w:lvlText w:val="%1."/>
      <w:lvlJc w:val="left"/>
      <w:pPr>
        <w:ind w:left="164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66A107E1"/>
    <w:multiLevelType w:val="multilevel"/>
    <w:tmpl w:val="66A107E1"/>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rPr>
        <w:rFonts w:ascii="Bookman Old Style" w:hAnsi="Bookman Old Style" w:eastAsia="Times New Roman" w:cs="Tahoma"/>
      </w:rPr>
    </w:lvl>
    <w:lvl w:ilvl="2" w:tentative="0">
      <w:start w:val="1"/>
      <w:numFmt w:val="decimal"/>
      <w:lvlText w:val="%3."/>
      <w:lvlJc w:val="left"/>
      <w:pPr>
        <w:ind w:left="2340" w:hanging="360"/>
      </w:pPr>
      <w:rPr>
        <w:rFonts w:hint="default" w:ascii="Times New Roman" w:hAnsi="Times New Roman" w:cs="Times New Roman"/>
        <w:color w:val="000000"/>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66CF5EFC"/>
    <w:multiLevelType w:val="multilevel"/>
    <w:tmpl w:val="66CF5EFC"/>
    <w:lvl w:ilvl="0" w:tentative="0">
      <w:start w:val="1"/>
      <w:numFmt w:val="decimal"/>
      <w:lvlText w:val="%1)"/>
      <w:lvlJc w:val="left"/>
      <w:pPr>
        <w:ind w:left="1494" w:hanging="360"/>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09">
    <w:nsid w:val="66D8384C"/>
    <w:multiLevelType w:val="multilevel"/>
    <w:tmpl w:val="66D8384C"/>
    <w:lvl w:ilvl="0" w:tentative="0">
      <w:start w:val="1"/>
      <w:numFmt w:val="decimal"/>
      <w:lvlText w:val="%1."/>
      <w:lvlJc w:val="left"/>
      <w:pPr>
        <w:ind w:left="1353" w:hanging="360"/>
      </w:pPr>
      <w:rPr>
        <w:rFonts w:ascii="Bookman Old Style" w:hAnsi="Bookman Old Style" w:eastAsia="Times New Roman" w:cs="Tahoma"/>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110">
    <w:nsid w:val="683B7F1F"/>
    <w:multiLevelType w:val="multilevel"/>
    <w:tmpl w:val="683B7F1F"/>
    <w:lvl w:ilvl="0" w:tentative="0">
      <w:start w:val="1"/>
      <w:numFmt w:val="decimal"/>
      <w:lvlText w:val="%1)"/>
      <w:lvlJc w:val="left"/>
      <w:pPr>
        <w:ind w:left="720" w:hanging="360"/>
      </w:pPr>
      <w:rPr>
        <w:rFonts w:hint="default"/>
        <w:color w:val="000000" w:themeColor="dark1"/>
        <w14:textFill>
          <w14:solidFill>
            <w14:schemeClr w14:val="dk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68AF483E"/>
    <w:multiLevelType w:val="multilevel"/>
    <w:tmpl w:val="68AF483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6902447C"/>
    <w:multiLevelType w:val="multilevel"/>
    <w:tmpl w:val="6902447C"/>
    <w:lvl w:ilvl="0" w:tentative="0">
      <w:start w:val="1"/>
      <w:numFmt w:val="decimal"/>
      <w:lvlText w:val="%1)"/>
      <w:lvlJc w:val="left"/>
      <w:pPr>
        <w:ind w:left="786" w:hanging="360"/>
      </w:pPr>
      <w:rPr>
        <w:rFonts w:hint="default" w:ascii="Tahoma" w:hAnsi="Tahoma" w:cs="Tahoma"/>
        <w:b w:val="0"/>
        <w:color w:val="000000" w:themeColor="dark1"/>
        <w14:textFill>
          <w14:solidFill>
            <w14:schemeClr w14:val="dk1"/>
          </w14:solidFill>
        </w14:textFill>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13">
    <w:nsid w:val="69082F69"/>
    <w:multiLevelType w:val="multilevel"/>
    <w:tmpl w:val="69082F69"/>
    <w:lvl w:ilvl="0" w:tentative="0">
      <w:start w:val="1"/>
      <w:numFmt w:val="decimal"/>
      <w:lvlText w:val="%1."/>
      <w:lvlJc w:val="left"/>
      <w:pPr>
        <w:ind w:left="861" w:hanging="435"/>
      </w:pPr>
      <w:rPr>
        <w:rFonts w:hint="default" w:ascii="Tahoma" w:hAnsi="Tahoma" w:eastAsia="Times New Roman" w:cs="Tahoma"/>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14">
    <w:nsid w:val="6A2A0E2F"/>
    <w:multiLevelType w:val="multilevel"/>
    <w:tmpl w:val="6A2A0E2F"/>
    <w:lvl w:ilvl="0" w:tentative="0">
      <w:start w:val="1"/>
      <w:numFmt w:val="decimal"/>
      <w:lvlText w:val="%1."/>
      <w:lvlJc w:val="left"/>
      <w:pPr>
        <w:ind w:left="1080" w:hanging="360"/>
      </w:pPr>
      <w:rPr>
        <w:rFonts w:ascii="Bookman Old Style" w:hAnsi="Bookman Old Style" w:eastAsia="Times New Roman" w:cs="Tahoma"/>
        <w:b w:val="0"/>
      </w:rPr>
    </w:lvl>
    <w:lvl w:ilvl="1" w:tentative="0">
      <w:start w:val="1"/>
      <w:numFmt w:val="lowerLetter"/>
      <w:lvlText w:val="%2."/>
      <w:lvlJc w:val="left"/>
      <w:pPr>
        <w:ind w:left="1800" w:hanging="360"/>
      </w:pPr>
    </w:lvl>
    <w:lvl w:ilvl="2" w:tentative="0">
      <w:start w:val="1"/>
      <w:numFmt w:val="decimal"/>
      <w:lvlText w:val="(%3)"/>
      <w:lvlJc w:val="left"/>
      <w:pPr>
        <w:ind w:left="2700" w:hanging="360"/>
      </w:pPr>
      <w:rPr>
        <w:rFonts w:hint="default"/>
      </w:rPr>
    </w:lvl>
    <w:lvl w:ilvl="3" w:tentative="0">
      <w:start w:val="1"/>
      <w:numFmt w:val="decimal"/>
      <w:lvlText w:val="(%4)"/>
      <w:lvlJc w:val="left"/>
      <w:pPr>
        <w:ind w:left="3240" w:hanging="360"/>
      </w:pPr>
      <w:rPr>
        <w:rFonts w:hint="default"/>
      </w:rPr>
    </w:lvl>
    <w:lvl w:ilvl="4" w:tentative="0">
      <w:start w:val="1"/>
      <w:numFmt w:val="decimal"/>
      <w:lvlText w:val="%5."/>
      <w:lvlJc w:val="left"/>
      <w:pPr>
        <w:ind w:left="3960" w:hanging="360"/>
      </w:pPr>
      <w:rPr>
        <w:rFonts w:hint="default"/>
      </w:r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5">
    <w:nsid w:val="6CD33009"/>
    <w:multiLevelType w:val="multilevel"/>
    <w:tmpl w:val="6CD33009"/>
    <w:lvl w:ilvl="0" w:tentative="0">
      <w:start w:val="1"/>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116">
    <w:nsid w:val="6D0B0CA9"/>
    <w:multiLevelType w:val="multilevel"/>
    <w:tmpl w:val="6D0B0CA9"/>
    <w:lvl w:ilvl="0" w:tentative="0">
      <w:start w:val="1"/>
      <w:numFmt w:val="decimal"/>
      <w:lvlText w:val="%1."/>
      <w:lvlJc w:val="left"/>
      <w:pPr>
        <w:ind w:left="2880" w:hanging="360"/>
      </w:pPr>
    </w:lvl>
    <w:lvl w:ilvl="1" w:tentative="0">
      <w:start w:val="1"/>
      <w:numFmt w:val="decimal"/>
      <w:isLgl/>
      <w:lvlText w:val="%1.%2."/>
      <w:lvlJc w:val="left"/>
      <w:pPr>
        <w:ind w:left="3240" w:hanging="720"/>
      </w:pPr>
      <w:rPr>
        <w:rFonts w:hint="default"/>
        <w:b/>
      </w:rPr>
    </w:lvl>
    <w:lvl w:ilvl="2" w:tentative="0">
      <w:start w:val="1"/>
      <w:numFmt w:val="decimal"/>
      <w:isLgl/>
      <w:lvlText w:val="%1.%2.%3."/>
      <w:lvlJc w:val="left"/>
      <w:pPr>
        <w:ind w:left="3240" w:hanging="720"/>
      </w:pPr>
      <w:rPr>
        <w:rFonts w:hint="default"/>
      </w:rPr>
    </w:lvl>
    <w:lvl w:ilvl="3" w:tentative="0">
      <w:start w:val="1"/>
      <w:numFmt w:val="decimal"/>
      <w:isLgl/>
      <w:lvlText w:val="%1.%2.%3.%4."/>
      <w:lvlJc w:val="left"/>
      <w:pPr>
        <w:ind w:left="3600" w:hanging="1080"/>
      </w:pPr>
      <w:rPr>
        <w:rFonts w:hint="default"/>
      </w:rPr>
    </w:lvl>
    <w:lvl w:ilvl="4" w:tentative="0">
      <w:start w:val="1"/>
      <w:numFmt w:val="decimal"/>
      <w:isLgl/>
      <w:lvlText w:val="%1.%2.%3.%4.%5."/>
      <w:lvlJc w:val="left"/>
      <w:pPr>
        <w:ind w:left="3600" w:hanging="1080"/>
      </w:pPr>
      <w:rPr>
        <w:rFonts w:hint="default"/>
      </w:rPr>
    </w:lvl>
    <w:lvl w:ilvl="5" w:tentative="0">
      <w:start w:val="1"/>
      <w:numFmt w:val="decimal"/>
      <w:isLgl/>
      <w:lvlText w:val="%1.%2.%3.%4.%5.%6."/>
      <w:lvlJc w:val="left"/>
      <w:pPr>
        <w:ind w:left="396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320" w:hanging="1800"/>
      </w:pPr>
      <w:rPr>
        <w:rFonts w:hint="default"/>
      </w:rPr>
    </w:lvl>
    <w:lvl w:ilvl="8" w:tentative="0">
      <w:start w:val="1"/>
      <w:numFmt w:val="decimal"/>
      <w:isLgl/>
      <w:lvlText w:val="%1.%2.%3.%4.%5.%6.%7.%8.%9."/>
      <w:lvlJc w:val="left"/>
      <w:pPr>
        <w:ind w:left="4680" w:hanging="2160"/>
      </w:pPr>
      <w:rPr>
        <w:rFonts w:hint="default"/>
      </w:rPr>
    </w:lvl>
  </w:abstractNum>
  <w:abstractNum w:abstractNumId="117">
    <w:nsid w:val="6EE7720E"/>
    <w:multiLevelType w:val="multilevel"/>
    <w:tmpl w:val="6EE7720E"/>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18">
    <w:nsid w:val="7348617C"/>
    <w:multiLevelType w:val="multilevel"/>
    <w:tmpl w:val="7348617C"/>
    <w:lvl w:ilvl="0" w:tentative="0">
      <w:start w:val="1"/>
      <w:numFmt w:val="decimal"/>
      <w:lvlText w:val="%1."/>
      <w:lvlJc w:val="left"/>
      <w:pPr>
        <w:ind w:left="720" w:hanging="360"/>
      </w:pPr>
      <w:rPr>
        <w:rFonts w:ascii="Bookman Old Style" w:hAnsi="Bookman Old Style" w:eastAsia="Times New Roman" w:cs="Times New Roman"/>
      </w:rPr>
    </w:lvl>
    <w:lvl w:ilvl="1" w:tentative="0">
      <w:start w:val="1"/>
      <w:numFmt w:val="decimal"/>
      <w:lvlText w:val="%2."/>
      <w:lvlJc w:val="left"/>
      <w:pPr>
        <w:ind w:left="1440" w:hanging="360"/>
      </w:pPr>
      <w:rPr>
        <w:rFonts w:ascii="Bookman Old Style" w:hAnsi="Bookman Old Style" w:eastAsia="Times New Roman" w:cs="Tahoma"/>
      </w:rPr>
    </w:lvl>
    <w:lvl w:ilvl="2" w:tentative="0">
      <w:start w:val="1"/>
      <w:numFmt w:val="decimal"/>
      <w:lvlText w:val="%3."/>
      <w:lvlJc w:val="left"/>
      <w:pPr>
        <w:ind w:left="2340" w:hanging="360"/>
      </w:pPr>
      <w:rPr>
        <w:rFonts w:hint="default" w:ascii="Times New Roman" w:hAnsi="Times New Roman" w:cs="Times New Roman"/>
        <w:color w:val="000000"/>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734E43CC"/>
    <w:multiLevelType w:val="multilevel"/>
    <w:tmpl w:val="734E43CC"/>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rPr>
        <w:rFonts w:ascii="Bookman Old Style" w:hAnsi="Bookman Old Style" w:eastAsia="Times New Roman" w:cs="Tahoma"/>
        <w:b w:val="0"/>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0">
    <w:nsid w:val="73B11D01"/>
    <w:multiLevelType w:val="multilevel"/>
    <w:tmpl w:val="73B11D01"/>
    <w:lvl w:ilvl="0" w:tentative="0">
      <w:start w:val="1"/>
      <w:numFmt w:val="bullet"/>
      <w:lvlText w:val=""/>
      <w:lvlPicBulletId w:val="1"/>
      <w:lvlJc w:val="left"/>
      <w:pPr>
        <w:ind w:left="720" w:hanging="360"/>
      </w:pPr>
      <w:rPr>
        <w:rFonts w:hint="default" w:ascii="Symbol" w:hAnsi="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748F62E0"/>
    <w:multiLevelType w:val="multilevel"/>
    <w:tmpl w:val="748F62E0"/>
    <w:lvl w:ilvl="0" w:tentative="0">
      <w:start w:val="1"/>
      <w:numFmt w:val="decimal"/>
      <w:lvlText w:val="%1."/>
      <w:lvlJc w:val="left"/>
      <w:pPr>
        <w:ind w:left="1211" w:hanging="360"/>
      </w:pPr>
      <w:rPr>
        <w:rFonts w:hint="default"/>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122">
    <w:nsid w:val="74FC3803"/>
    <w:multiLevelType w:val="multilevel"/>
    <w:tmpl w:val="74FC3803"/>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decimal"/>
      <w:lvlText w:val="%3."/>
      <w:lvlJc w:val="left"/>
      <w:pPr>
        <w:ind w:left="3049" w:hanging="360"/>
      </w:pPr>
      <w:rPr>
        <w:rFonts w:hint="default"/>
      </w:rPr>
    </w:lvl>
    <w:lvl w:ilvl="3" w:tentative="0">
      <w:start w:val="1"/>
      <w:numFmt w:val="decimal"/>
      <w:lvlText w:val="%4)"/>
      <w:lvlJc w:val="left"/>
      <w:pPr>
        <w:ind w:left="3589" w:hanging="360"/>
      </w:pPr>
      <w:rPr>
        <w:rFonts w:hint="default"/>
      </w:r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23">
    <w:nsid w:val="7521356C"/>
    <w:multiLevelType w:val="multilevel"/>
    <w:tmpl w:val="7521356C"/>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24">
    <w:nsid w:val="760C740E"/>
    <w:multiLevelType w:val="multilevel"/>
    <w:tmpl w:val="760C740E"/>
    <w:lvl w:ilvl="0" w:tentative="0">
      <w:start w:val="1"/>
      <w:numFmt w:val="decimal"/>
      <w:lvlText w:val="%1."/>
      <w:lvlJc w:val="left"/>
      <w:pPr>
        <w:ind w:left="720" w:hanging="360"/>
      </w:pPr>
      <w:rPr>
        <w:rFonts w:ascii="Arial" w:hAnsi="Arial" w:eastAsia="Times New Roman" w:cs="Arial"/>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5">
    <w:nsid w:val="769174AE"/>
    <w:multiLevelType w:val="multilevel"/>
    <w:tmpl w:val="769174AE"/>
    <w:lvl w:ilvl="0" w:tentative="0">
      <w:start w:val="1"/>
      <w:numFmt w:val="decimal"/>
      <w:lvlText w:val="%1."/>
      <w:lvlJc w:val="left"/>
      <w:pPr>
        <w:ind w:left="2946" w:hanging="360"/>
      </w:pPr>
    </w:lvl>
    <w:lvl w:ilvl="1" w:tentative="0">
      <w:start w:val="1"/>
      <w:numFmt w:val="lowerLetter"/>
      <w:lvlText w:val="%2."/>
      <w:lvlJc w:val="left"/>
      <w:pPr>
        <w:ind w:left="3666" w:hanging="360"/>
      </w:pPr>
    </w:lvl>
    <w:lvl w:ilvl="2" w:tentative="0">
      <w:start w:val="1"/>
      <w:numFmt w:val="lowerRoman"/>
      <w:lvlText w:val="%3."/>
      <w:lvlJc w:val="right"/>
      <w:pPr>
        <w:ind w:left="4386" w:hanging="180"/>
      </w:pPr>
    </w:lvl>
    <w:lvl w:ilvl="3" w:tentative="0">
      <w:start w:val="1"/>
      <w:numFmt w:val="decimal"/>
      <w:lvlText w:val="%4."/>
      <w:lvlJc w:val="left"/>
      <w:pPr>
        <w:ind w:left="5106" w:hanging="360"/>
      </w:pPr>
    </w:lvl>
    <w:lvl w:ilvl="4" w:tentative="0">
      <w:start w:val="1"/>
      <w:numFmt w:val="lowerLetter"/>
      <w:lvlText w:val="%5."/>
      <w:lvlJc w:val="left"/>
      <w:pPr>
        <w:ind w:left="5826" w:hanging="360"/>
      </w:pPr>
    </w:lvl>
    <w:lvl w:ilvl="5" w:tentative="0">
      <w:start w:val="1"/>
      <w:numFmt w:val="lowerRoman"/>
      <w:lvlText w:val="%6."/>
      <w:lvlJc w:val="right"/>
      <w:pPr>
        <w:ind w:left="6546" w:hanging="180"/>
      </w:pPr>
    </w:lvl>
    <w:lvl w:ilvl="6" w:tentative="0">
      <w:start w:val="1"/>
      <w:numFmt w:val="decimal"/>
      <w:lvlText w:val="%7."/>
      <w:lvlJc w:val="left"/>
      <w:pPr>
        <w:ind w:left="7266" w:hanging="360"/>
      </w:pPr>
    </w:lvl>
    <w:lvl w:ilvl="7" w:tentative="0">
      <w:start w:val="1"/>
      <w:numFmt w:val="lowerLetter"/>
      <w:lvlText w:val="%8."/>
      <w:lvlJc w:val="left"/>
      <w:pPr>
        <w:ind w:left="7986" w:hanging="360"/>
      </w:pPr>
    </w:lvl>
    <w:lvl w:ilvl="8" w:tentative="0">
      <w:start w:val="1"/>
      <w:numFmt w:val="lowerRoman"/>
      <w:lvlText w:val="%9."/>
      <w:lvlJc w:val="right"/>
      <w:pPr>
        <w:ind w:left="8706" w:hanging="180"/>
      </w:pPr>
    </w:lvl>
  </w:abstractNum>
  <w:abstractNum w:abstractNumId="126">
    <w:nsid w:val="79352928"/>
    <w:multiLevelType w:val="multilevel"/>
    <w:tmpl w:val="7935292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79614ECF"/>
    <w:multiLevelType w:val="multilevel"/>
    <w:tmpl w:val="79614ECF"/>
    <w:lvl w:ilvl="0" w:tentative="0">
      <w:start w:val="1"/>
      <w:numFmt w:val="decimal"/>
      <w:lvlText w:val="%1."/>
      <w:lvlJc w:val="left"/>
      <w:pPr>
        <w:ind w:left="617" w:hanging="360"/>
      </w:pPr>
      <w:rPr>
        <w:rFonts w:hint="default"/>
      </w:rPr>
    </w:lvl>
    <w:lvl w:ilvl="1" w:tentative="0">
      <w:start w:val="1"/>
      <w:numFmt w:val="lowerLetter"/>
      <w:lvlText w:val="%2."/>
      <w:lvlJc w:val="left"/>
      <w:pPr>
        <w:ind w:left="1337" w:hanging="360"/>
      </w:pPr>
    </w:lvl>
    <w:lvl w:ilvl="2" w:tentative="0">
      <w:start w:val="1"/>
      <w:numFmt w:val="lowerRoman"/>
      <w:lvlText w:val="%3."/>
      <w:lvlJc w:val="right"/>
      <w:pPr>
        <w:ind w:left="2057" w:hanging="180"/>
      </w:pPr>
    </w:lvl>
    <w:lvl w:ilvl="3" w:tentative="0">
      <w:start w:val="1"/>
      <w:numFmt w:val="decimal"/>
      <w:lvlText w:val="%4."/>
      <w:lvlJc w:val="left"/>
      <w:pPr>
        <w:ind w:left="2777" w:hanging="360"/>
      </w:pPr>
    </w:lvl>
    <w:lvl w:ilvl="4" w:tentative="0">
      <w:start w:val="1"/>
      <w:numFmt w:val="lowerLetter"/>
      <w:lvlText w:val="%5."/>
      <w:lvlJc w:val="left"/>
      <w:pPr>
        <w:ind w:left="3497" w:hanging="360"/>
      </w:pPr>
    </w:lvl>
    <w:lvl w:ilvl="5" w:tentative="0">
      <w:start w:val="1"/>
      <w:numFmt w:val="lowerRoman"/>
      <w:lvlText w:val="%6."/>
      <w:lvlJc w:val="right"/>
      <w:pPr>
        <w:ind w:left="4217" w:hanging="180"/>
      </w:pPr>
    </w:lvl>
    <w:lvl w:ilvl="6" w:tentative="0">
      <w:start w:val="1"/>
      <w:numFmt w:val="decimal"/>
      <w:lvlText w:val="%7."/>
      <w:lvlJc w:val="left"/>
      <w:pPr>
        <w:ind w:left="4937" w:hanging="360"/>
      </w:pPr>
    </w:lvl>
    <w:lvl w:ilvl="7" w:tentative="0">
      <w:start w:val="1"/>
      <w:numFmt w:val="lowerLetter"/>
      <w:lvlText w:val="%8."/>
      <w:lvlJc w:val="left"/>
      <w:pPr>
        <w:ind w:left="5657" w:hanging="360"/>
      </w:pPr>
    </w:lvl>
    <w:lvl w:ilvl="8" w:tentative="0">
      <w:start w:val="1"/>
      <w:numFmt w:val="lowerRoman"/>
      <w:lvlText w:val="%9."/>
      <w:lvlJc w:val="right"/>
      <w:pPr>
        <w:ind w:left="6377" w:hanging="180"/>
      </w:pPr>
    </w:lvl>
  </w:abstractNum>
  <w:abstractNum w:abstractNumId="128">
    <w:nsid w:val="796456AA"/>
    <w:multiLevelType w:val="multilevel"/>
    <w:tmpl w:val="796456AA"/>
    <w:lvl w:ilvl="0" w:tentative="0">
      <w:start w:val="1"/>
      <w:numFmt w:val="decimal"/>
      <w:lvlText w:val="%1)"/>
      <w:lvlJc w:val="left"/>
      <w:pPr>
        <w:ind w:left="1080" w:hanging="360"/>
      </w:pPr>
      <w:rPr>
        <w:rFonts w:hint="default"/>
        <w:color w:val="000000" w:themeColor="dark1"/>
        <w14:textFill>
          <w14:solidFill>
            <w14:schemeClr w14:val="dk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9">
    <w:nsid w:val="7C227F10"/>
    <w:multiLevelType w:val="multilevel"/>
    <w:tmpl w:val="7C227F10"/>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num w:numId="1">
    <w:abstractNumId w:val="70"/>
  </w:num>
  <w:num w:numId="2">
    <w:abstractNumId w:val="85"/>
  </w:num>
  <w:num w:numId="3">
    <w:abstractNumId w:val="115"/>
  </w:num>
  <w:num w:numId="4">
    <w:abstractNumId w:val="55"/>
  </w:num>
  <w:num w:numId="5">
    <w:abstractNumId w:val="61"/>
  </w:num>
  <w:num w:numId="6">
    <w:abstractNumId w:val="6"/>
  </w:num>
  <w:num w:numId="7">
    <w:abstractNumId w:val="34"/>
  </w:num>
  <w:num w:numId="8">
    <w:abstractNumId w:val="38"/>
  </w:num>
  <w:num w:numId="9">
    <w:abstractNumId w:val="123"/>
  </w:num>
  <w:num w:numId="10">
    <w:abstractNumId w:val="109"/>
  </w:num>
  <w:num w:numId="11">
    <w:abstractNumId w:val="59"/>
  </w:num>
  <w:num w:numId="12">
    <w:abstractNumId w:val="119"/>
  </w:num>
  <w:num w:numId="13">
    <w:abstractNumId w:val="49"/>
  </w:num>
  <w:num w:numId="14">
    <w:abstractNumId w:val="52"/>
  </w:num>
  <w:num w:numId="15">
    <w:abstractNumId w:val="80"/>
  </w:num>
  <w:num w:numId="16">
    <w:abstractNumId w:val="3"/>
  </w:num>
  <w:num w:numId="17">
    <w:abstractNumId w:val="33"/>
  </w:num>
  <w:num w:numId="18">
    <w:abstractNumId w:val="23"/>
  </w:num>
  <w:num w:numId="19">
    <w:abstractNumId w:val="14"/>
  </w:num>
  <w:num w:numId="20">
    <w:abstractNumId w:val="2"/>
  </w:num>
  <w:num w:numId="21">
    <w:abstractNumId w:val="63"/>
  </w:num>
  <w:num w:numId="22">
    <w:abstractNumId w:val="108"/>
  </w:num>
  <w:num w:numId="23">
    <w:abstractNumId w:val="42"/>
  </w:num>
  <w:num w:numId="24">
    <w:abstractNumId w:val="93"/>
  </w:num>
  <w:num w:numId="25">
    <w:abstractNumId w:val="88"/>
  </w:num>
  <w:num w:numId="26">
    <w:abstractNumId w:val="1"/>
  </w:num>
  <w:num w:numId="27">
    <w:abstractNumId w:val="15"/>
  </w:num>
  <w:num w:numId="28">
    <w:abstractNumId w:val="113"/>
  </w:num>
  <w:num w:numId="29">
    <w:abstractNumId w:val="28"/>
  </w:num>
  <w:num w:numId="30">
    <w:abstractNumId w:val="35"/>
  </w:num>
  <w:num w:numId="31">
    <w:abstractNumId w:val="90"/>
  </w:num>
  <w:num w:numId="32">
    <w:abstractNumId w:val="26"/>
  </w:num>
  <w:num w:numId="33">
    <w:abstractNumId w:val="84"/>
  </w:num>
  <w:num w:numId="34">
    <w:abstractNumId w:val="101"/>
  </w:num>
  <w:num w:numId="35">
    <w:abstractNumId w:val="122"/>
  </w:num>
  <w:num w:numId="36">
    <w:abstractNumId w:val="83"/>
  </w:num>
  <w:num w:numId="37">
    <w:abstractNumId w:val="124"/>
  </w:num>
  <w:num w:numId="38">
    <w:abstractNumId w:val="31"/>
  </w:num>
  <w:num w:numId="39">
    <w:abstractNumId w:val="116"/>
  </w:num>
  <w:num w:numId="40">
    <w:abstractNumId w:val="77"/>
  </w:num>
  <w:num w:numId="41">
    <w:abstractNumId w:val="121"/>
  </w:num>
  <w:num w:numId="42">
    <w:abstractNumId w:val="97"/>
  </w:num>
  <w:num w:numId="43">
    <w:abstractNumId w:val="50"/>
  </w:num>
  <w:num w:numId="44">
    <w:abstractNumId w:val="13"/>
  </w:num>
  <w:num w:numId="45">
    <w:abstractNumId w:val="117"/>
  </w:num>
  <w:num w:numId="46">
    <w:abstractNumId w:val="11"/>
  </w:num>
  <w:num w:numId="47">
    <w:abstractNumId w:val="7"/>
  </w:num>
  <w:num w:numId="48">
    <w:abstractNumId w:val="9"/>
  </w:num>
  <w:num w:numId="49">
    <w:abstractNumId w:val="114"/>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9"/>
  </w:num>
  <w:num w:numId="58">
    <w:abstractNumId w:val="125"/>
  </w:num>
  <w:num w:numId="59">
    <w:abstractNumId w:val="60"/>
  </w:num>
  <w:num w:numId="60">
    <w:abstractNumId w:val="127"/>
  </w:num>
  <w:num w:numId="61">
    <w:abstractNumId w:val="94"/>
  </w:num>
  <w:num w:numId="62">
    <w:abstractNumId w:val="58"/>
  </w:num>
  <w:num w:numId="63">
    <w:abstractNumId w:val="111"/>
  </w:num>
  <w:num w:numId="64">
    <w:abstractNumId w:val="53"/>
  </w:num>
  <w:num w:numId="65">
    <w:abstractNumId w:val="4"/>
  </w:num>
  <w:num w:numId="66">
    <w:abstractNumId w:val="56"/>
  </w:num>
  <w:num w:numId="67">
    <w:abstractNumId w:val="73"/>
  </w:num>
  <w:num w:numId="68">
    <w:abstractNumId w:val="25"/>
  </w:num>
  <w:num w:numId="69">
    <w:abstractNumId w:val="89"/>
  </w:num>
  <w:num w:numId="70">
    <w:abstractNumId w:val="126"/>
  </w:num>
  <w:num w:numId="71">
    <w:abstractNumId w:val="62"/>
  </w:num>
  <w:num w:numId="72">
    <w:abstractNumId w:val="54"/>
  </w:num>
  <w:num w:numId="73">
    <w:abstractNumId w:val="46"/>
  </w:num>
  <w:num w:numId="74">
    <w:abstractNumId w:val="44"/>
  </w:num>
  <w:num w:numId="75">
    <w:abstractNumId w:val="118"/>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num>
  <w:num w:numId="78">
    <w:abstractNumId w:val="22"/>
  </w:num>
  <w:num w:numId="79">
    <w:abstractNumId w:val="67"/>
  </w:num>
  <w:num w:numId="80">
    <w:abstractNumId w:val="32"/>
  </w:num>
  <w:num w:numId="81">
    <w:abstractNumId w:val="96"/>
  </w:num>
  <w:num w:numId="82">
    <w:abstractNumId w:val="20"/>
  </w:num>
  <w:num w:numId="83">
    <w:abstractNumId w:val="17"/>
  </w:num>
  <w:num w:numId="84">
    <w:abstractNumId w:val="76"/>
  </w:num>
  <w:num w:numId="85">
    <w:abstractNumId w:val="65"/>
  </w:num>
  <w:num w:numId="86">
    <w:abstractNumId w:val="27"/>
  </w:num>
  <w:num w:numId="87">
    <w:abstractNumId w:val="19"/>
  </w:num>
  <w:num w:numId="88">
    <w:abstractNumId w:val="106"/>
  </w:num>
  <w:num w:numId="89">
    <w:abstractNumId w:val="37"/>
  </w:num>
  <w:num w:numId="90">
    <w:abstractNumId w:val="43"/>
  </w:num>
  <w:num w:numId="91">
    <w:abstractNumId w:val="82"/>
  </w:num>
  <w:num w:numId="92">
    <w:abstractNumId w:val="5"/>
  </w:num>
  <w:num w:numId="93">
    <w:abstractNumId w:val="40"/>
  </w:num>
  <w:num w:numId="94">
    <w:abstractNumId w:val="0"/>
  </w:num>
  <w:num w:numId="95">
    <w:abstractNumId w:val="64"/>
  </w:num>
  <w:num w:numId="96">
    <w:abstractNumId w:val="48"/>
  </w:num>
  <w:num w:numId="97">
    <w:abstractNumId w:val="105"/>
  </w:num>
  <w:num w:numId="98">
    <w:abstractNumId w:val="36"/>
  </w:num>
  <w:num w:numId="99">
    <w:abstractNumId w:val="75"/>
  </w:num>
  <w:num w:numId="100">
    <w:abstractNumId w:val="66"/>
  </w:num>
  <w:num w:numId="101">
    <w:abstractNumId w:val="47"/>
  </w:num>
  <w:num w:numId="102">
    <w:abstractNumId w:val="68"/>
  </w:num>
  <w:num w:numId="103">
    <w:abstractNumId w:val="29"/>
  </w:num>
  <w:num w:numId="104">
    <w:abstractNumId w:val="99"/>
  </w:num>
  <w:num w:numId="105">
    <w:abstractNumId w:val="81"/>
  </w:num>
  <w:num w:numId="106">
    <w:abstractNumId w:val="71"/>
  </w:num>
  <w:num w:numId="107">
    <w:abstractNumId w:val="91"/>
  </w:num>
  <w:num w:numId="108">
    <w:abstractNumId w:val="103"/>
  </w:num>
  <w:num w:numId="109">
    <w:abstractNumId w:val="8"/>
  </w:num>
  <w:num w:numId="110">
    <w:abstractNumId w:val="72"/>
  </w:num>
  <w:num w:numId="111">
    <w:abstractNumId w:val="41"/>
  </w:num>
  <w:num w:numId="112">
    <w:abstractNumId w:val="69"/>
  </w:num>
  <w:num w:numId="113">
    <w:abstractNumId w:val="12"/>
  </w:num>
  <w:num w:numId="114">
    <w:abstractNumId w:val="120"/>
  </w:num>
  <w:num w:numId="115">
    <w:abstractNumId w:val="74"/>
  </w:num>
  <w:num w:numId="116">
    <w:abstractNumId w:val="24"/>
  </w:num>
  <w:num w:numId="117">
    <w:abstractNumId w:val="51"/>
  </w:num>
  <w:num w:numId="1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8"/>
  </w:num>
  <w:num w:numId="120">
    <w:abstractNumId w:val="102"/>
  </w:num>
  <w:num w:numId="121">
    <w:abstractNumId w:val="21"/>
  </w:num>
  <w:num w:numId="122">
    <w:abstractNumId w:val="10"/>
  </w:num>
  <w:num w:numId="123">
    <w:abstractNumId w:val="100"/>
  </w:num>
  <w:num w:numId="124">
    <w:abstractNumId w:val="110"/>
  </w:num>
  <w:num w:numId="125">
    <w:abstractNumId w:val="30"/>
  </w:num>
  <w:num w:numId="126">
    <w:abstractNumId w:val="16"/>
  </w:num>
  <w:num w:numId="127">
    <w:abstractNumId w:val="128"/>
  </w:num>
  <w:num w:numId="128">
    <w:abstractNumId w:val="104"/>
  </w:num>
  <w:num w:numId="129">
    <w:abstractNumId w:val="92"/>
  </w:num>
  <w:num w:numId="130">
    <w:abstractNumId w:val="39"/>
  </w:num>
  <w:num w:numId="131">
    <w:abstractNumId w:val="79"/>
  </w:num>
  <w:num w:numId="132">
    <w:abstractNumId w:val="18"/>
  </w:num>
  <w:num w:numId="133">
    <w:abstractNumId w:val="57"/>
  </w:num>
  <w:num w:numId="134">
    <w:abstractNumId w:val="112"/>
  </w:num>
  <w:num w:numId="135">
    <w:abstractNumId w:val="95"/>
  </w:num>
  <w:num w:numId="136">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4E"/>
    <w:rsid w:val="000A0143"/>
    <w:rsid w:val="001945F0"/>
    <w:rsid w:val="001B665E"/>
    <w:rsid w:val="002347D6"/>
    <w:rsid w:val="002F3617"/>
    <w:rsid w:val="002F71A8"/>
    <w:rsid w:val="00446654"/>
    <w:rsid w:val="00465113"/>
    <w:rsid w:val="004B3C9B"/>
    <w:rsid w:val="004C4367"/>
    <w:rsid w:val="004F2A2D"/>
    <w:rsid w:val="00507FCE"/>
    <w:rsid w:val="00530F10"/>
    <w:rsid w:val="005825BF"/>
    <w:rsid w:val="00586DBA"/>
    <w:rsid w:val="005E3973"/>
    <w:rsid w:val="0080534E"/>
    <w:rsid w:val="00833ACA"/>
    <w:rsid w:val="008656A2"/>
    <w:rsid w:val="008D745E"/>
    <w:rsid w:val="008E5C6D"/>
    <w:rsid w:val="008F4FC6"/>
    <w:rsid w:val="009713C7"/>
    <w:rsid w:val="00994E2B"/>
    <w:rsid w:val="00A00CF8"/>
    <w:rsid w:val="00AE05CF"/>
    <w:rsid w:val="00AF3D18"/>
    <w:rsid w:val="00B220CA"/>
    <w:rsid w:val="00B71400"/>
    <w:rsid w:val="00B7529A"/>
    <w:rsid w:val="00BA7DF0"/>
    <w:rsid w:val="00BB3B1B"/>
    <w:rsid w:val="00C34371"/>
    <w:rsid w:val="00C42458"/>
    <w:rsid w:val="00C74A75"/>
    <w:rsid w:val="00D0020D"/>
    <w:rsid w:val="00D87B8E"/>
    <w:rsid w:val="00E67F55"/>
    <w:rsid w:val="00E82171"/>
    <w:rsid w:val="00EF654B"/>
    <w:rsid w:val="00FC4E3D"/>
    <w:rsid w:val="1E916C54"/>
    <w:rsid w:val="25BF43FD"/>
    <w:rsid w:val="3ACA03D7"/>
    <w:rsid w:val="541F3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20"/>
    <w:qFormat/>
    <w:uiPriority w:val="9"/>
    <w:pPr>
      <w:keepNext/>
      <w:numPr>
        <w:ilvl w:val="0"/>
        <w:numId w:val="1"/>
      </w:numPr>
      <w:spacing w:after="0" w:line="480" w:lineRule="auto"/>
      <w:outlineLvl w:val="1"/>
    </w:pPr>
    <w:rPr>
      <w:rFonts w:ascii="Times New Roman" w:hAnsi="Times New Roman" w:eastAsia="Times New Roman" w:cs="Times New Roman"/>
      <w:b/>
      <w:sz w:val="24"/>
      <w:szCs w:val="20"/>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5"/>
    <w:semiHidden/>
    <w:unhideWhenUsed/>
    <w:uiPriority w:val="99"/>
    <w:pPr>
      <w:spacing w:after="0" w:line="240" w:lineRule="auto"/>
    </w:pPr>
    <w:rPr>
      <w:rFonts w:ascii="Segoe UI" w:hAnsi="Segoe UI" w:cs="Segoe UI"/>
      <w:sz w:val="18"/>
      <w:szCs w:val="18"/>
    </w:rPr>
  </w:style>
  <w:style w:type="paragraph" w:styleId="6">
    <w:name w:val="Body Text Indent"/>
    <w:basedOn w:val="1"/>
    <w:link w:val="19"/>
    <w:qFormat/>
    <w:uiPriority w:val="0"/>
    <w:pPr>
      <w:spacing w:after="0" w:line="480" w:lineRule="auto"/>
      <w:ind w:left="426" w:firstLine="1134"/>
      <w:jc w:val="both"/>
    </w:pPr>
    <w:rPr>
      <w:rFonts w:ascii="Times New Roman" w:hAnsi="Times New Roman" w:eastAsia="Times New Roman" w:cs="Times New Roman"/>
      <w:sz w:val="24"/>
      <w:szCs w:val="20"/>
    </w:rPr>
  </w:style>
  <w:style w:type="character" w:styleId="7">
    <w:name w:val="Emphasis"/>
    <w:basedOn w:val="3"/>
    <w:qFormat/>
    <w:uiPriority w:val="20"/>
    <w:rPr>
      <w:i/>
      <w:iCs/>
    </w:rPr>
  </w:style>
  <w:style w:type="paragraph" w:styleId="8">
    <w:name w:val="footer"/>
    <w:basedOn w:val="1"/>
    <w:link w:val="14"/>
    <w:unhideWhenUsed/>
    <w:qFormat/>
    <w:uiPriority w:val="99"/>
    <w:pPr>
      <w:tabs>
        <w:tab w:val="center" w:pos="4680"/>
        <w:tab w:val="right" w:pos="9360"/>
      </w:tabs>
      <w:spacing w:after="0" w:line="240" w:lineRule="auto"/>
    </w:pPr>
  </w:style>
  <w:style w:type="paragraph" w:styleId="9">
    <w:name w:val="header"/>
    <w:basedOn w:val="1"/>
    <w:link w:val="13"/>
    <w:unhideWhenUsed/>
    <w:qFormat/>
    <w:uiPriority w:val="99"/>
    <w:pPr>
      <w:tabs>
        <w:tab w:val="center" w:pos="4680"/>
        <w:tab w:val="right" w:pos="9360"/>
      </w:tabs>
      <w:spacing w:after="0" w:line="240" w:lineRule="auto"/>
    </w:p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id-ID" w:eastAsia="id-ID"/>
    </w:rPr>
  </w:style>
  <w:style w:type="character" w:styleId="11">
    <w:name w:val="page number"/>
    <w:basedOn w:val="3"/>
    <w:qFormat/>
    <w:uiPriority w:val="0"/>
  </w:style>
  <w:style w:type="paragraph" w:styleId="12">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3">
    <w:name w:val="Header Char"/>
    <w:basedOn w:val="3"/>
    <w:link w:val="9"/>
    <w:uiPriority w:val="99"/>
  </w:style>
  <w:style w:type="character" w:customStyle="1" w:styleId="14">
    <w:name w:val="Footer Char"/>
    <w:basedOn w:val="3"/>
    <w:link w:val="8"/>
    <w:qFormat/>
    <w:uiPriority w:val="99"/>
  </w:style>
  <w:style w:type="character" w:customStyle="1" w:styleId="15">
    <w:name w:val="Balloon Text Char"/>
    <w:basedOn w:val="3"/>
    <w:link w:val="5"/>
    <w:semiHidden/>
    <w:uiPriority w:val="99"/>
    <w:rPr>
      <w:rFonts w:ascii="Segoe UI" w:hAnsi="Segoe UI" w:cs="Segoe UI"/>
      <w:sz w:val="18"/>
      <w:szCs w:val="18"/>
    </w:rPr>
  </w:style>
  <w:style w:type="paragraph" w:customStyle="1" w:styleId="16">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id-ID" w:bidi="ar-SA"/>
    </w:rPr>
  </w:style>
  <w:style w:type="paragraph" w:styleId="17">
    <w:name w:val="List Paragraph"/>
    <w:basedOn w:val="1"/>
    <w:link w:val="18"/>
    <w:qFormat/>
    <w:uiPriority w:val="34"/>
    <w:pPr>
      <w:spacing w:after="0" w:line="240" w:lineRule="auto"/>
      <w:ind w:left="720"/>
      <w:contextualSpacing/>
    </w:pPr>
    <w:rPr>
      <w:rFonts w:ascii="Times New Roman" w:hAnsi="Times New Roman" w:eastAsia="Times New Roman" w:cs="Times New Roman"/>
      <w:sz w:val="24"/>
      <w:szCs w:val="20"/>
    </w:rPr>
  </w:style>
  <w:style w:type="character" w:customStyle="1" w:styleId="18">
    <w:name w:val="List Paragraph Char"/>
    <w:link w:val="17"/>
    <w:qFormat/>
    <w:locked/>
    <w:uiPriority w:val="34"/>
    <w:rPr>
      <w:rFonts w:ascii="Times New Roman" w:hAnsi="Times New Roman" w:eastAsia="Times New Roman" w:cs="Times New Roman"/>
      <w:sz w:val="24"/>
      <w:szCs w:val="20"/>
      <w:lang w:bidi="ar-SA"/>
    </w:rPr>
  </w:style>
  <w:style w:type="character" w:customStyle="1" w:styleId="19">
    <w:name w:val="Body Text Indent Char"/>
    <w:basedOn w:val="3"/>
    <w:link w:val="6"/>
    <w:qFormat/>
    <w:uiPriority w:val="0"/>
    <w:rPr>
      <w:rFonts w:ascii="Times New Roman" w:hAnsi="Times New Roman" w:eastAsia="SimSun" w:cs="Times New Roman"/>
      <w:sz w:val="24"/>
      <w:szCs w:val="20"/>
      <w:lang w:bidi="ar-SA"/>
    </w:rPr>
  </w:style>
  <w:style w:type="character" w:customStyle="1" w:styleId="20">
    <w:name w:val="Heading 2 Char"/>
    <w:basedOn w:val="3"/>
    <w:link w:val="2"/>
    <w:qFormat/>
    <w:uiPriority w:val="9"/>
    <w:rPr>
      <w:rFonts w:ascii="Times New Roman" w:hAnsi="Times New Roman" w:eastAsia="SimSun" w:cs="Times New Roman"/>
      <w:b/>
      <w:sz w:val="24"/>
      <w:szCs w:val="20"/>
      <w:lang w:val="en-US" w:eastAsia="en-US" w:bidi="ar-SA"/>
    </w:rPr>
  </w:style>
  <w:style w:type="character" w:customStyle="1" w:styleId="21">
    <w:name w:val="alt-edited"/>
    <w:qFormat/>
    <w:uiPriority w:val="0"/>
  </w:style>
  <w:style w:type="character" w:customStyle="1" w:styleId="22">
    <w:name w:val="acopre"/>
    <w:basedOn w:val="3"/>
    <w:qFormat/>
    <w:uiPriority w:val="0"/>
  </w:style>
  <w:style w:type="character" w:customStyle="1" w:styleId="23">
    <w:name w:val="font21"/>
    <w:qFormat/>
    <w:uiPriority w:val="0"/>
    <w:rPr>
      <w:rFonts w:ascii="Cambria" w:hAnsi="Cambria" w:eastAsia="Cambria" w:cs="Cambria"/>
      <w:b/>
      <w:bCs/>
      <w:color w:val="000000"/>
      <w:u w:val="none"/>
    </w:rPr>
  </w:style>
  <w:style w:type="character" w:customStyle="1" w:styleId="24">
    <w:name w:val="font41"/>
    <w:qFormat/>
    <w:uiPriority w:val="0"/>
    <w:rPr>
      <w:rFonts w:ascii="Cambria" w:hAnsi="Cambria" w:eastAsia="Cambria" w:cs="Cambria"/>
      <w:color w:val="000000"/>
      <w:u w:val="none"/>
    </w:rPr>
  </w:style>
  <w:style w:type="character" w:customStyle="1" w:styleId="25">
    <w:name w:val="font81"/>
    <w:qFormat/>
    <w:uiPriority w:val="0"/>
    <w:rPr>
      <w:rFonts w:ascii="Cambria" w:hAnsi="Cambria" w:eastAsia="Cambria" w:cs="Cambria"/>
      <w:color w:val="000000"/>
      <w:u w:val="none"/>
    </w:rPr>
  </w:style>
  <w:style w:type="character" w:customStyle="1" w:styleId="26">
    <w:name w:val="font91"/>
    <w:qFormat/>
    <w:uiPriority w:val="0"/>
    <w:rPr>
      <w:rFonts w:ascii="Cambria" w:hAnsi="Cambria" w:eastAsia="Cambria" w:cs="Cambria"/>
      <w:b/>
      <w:bCs/>
      <w:color w:val="000000"/>
      <w:u w:val="none"/>
    </w:rPr>
  </w:style>
  <w:style w:type="character" w:customStyle="1" w:styleId="27">
    <w:name w:val="font101"/>
    <w:uiPriority w:val="0"/>
    <w:rPr>
      <w:rFonts w:ascii="Cambria" w:hAnsi="Cambria" w:eastAsia="Cambria" w:cs="Cambria"/>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customXml" Target="ink/ink3.xml"/><Relationship Id="rId32" Type="http://schemas.openxmlformats.org/officeDocument/2006/relationships/customXml" Target="ink/ink2.xml"/><Relationship Id="rId31" Type="http://schemas.openxmlformats.org/officeDocument/2006/relationships/image" Target="media/image4.png"/><Relationship Id="rId30" Type="http://schemas.openxmlformats.org/officeDocument/2006/relationships/customXml" Target="ink/ink1.xml"/><Relationship Id="rId3" Type="http://schemas.openxmlformats.org/officeDocument/2006/relationships/footnotes" Target="footnotes.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8.xml"/><Relationship Id="rId23" Type="http://schemas.openxmlformats.org/officeDocument/2006/relationships/footer" Target="footer7.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Data Staf Disdagkukm</c:v>
                </c:pt>
              </c:strCache>
            </c:strRef>
          </c:tx>
          <c:invertIfNegative val="0"/>
          <c:dLbls>
            <c:delete val="1"/>
          </c:dLbls>
          <c:cat>
            <c:strRef>
              <c:f>Sheet1!$A$2:$A$13</c:f>
              <c:strCache>
                <c:ptCount val="12"/>
                <c:pt idx="0">
                  <c:v>Gol IV/c</c:v>
                </c:pt>
                <c:pt idx="1">
                  <c:v>Gol IV/b</c:v>
                </c:pt>
                <c:pt idx="2">
                  <c:v>Gol IV/a</c:v>
                </c:pt>
                <c:pt idx="3">
                  <c:v>Gol III/d</c:v>
                </c:pt>
                <c:pt idx="4">
                  <c:v>Gol III/c</c:v>
                </c:pt>
                <c:pt idx="5">
                  <c:v>Gol III/b</c:v>
                </c:pt>
                <c:pt idx="6">
                  <c:v>Gol III/a</c:v>
                </c:pt>
                <c:pt idx="7">
                  <c:v>Gol II/d</c:v>
                </c:pt>
                <c:pt idx="8">
                  <c:v>Gol II/c</c:v>
                </c:pt>
                <c:pt idx="9">
                  <c:v>Gol II/ b</c:v>
                </c:pt>
                <c:pt idx="10">
                  <c:v>Gol II/a</c:v>
                </c:pt>
                <c:pt idx="11">
                  <c:v>PHL</c:v>
                </c:pt>
              </c:strCache>
            </c:strRef>
          </c:cat>
          <c:val>
            <c:numRef>
              <c:f>Sheet1!$B$2:$B$13</c:f>
              <c:numCache>
                <c:formatCode>General</c:formatCode>
                <c:ptCount val="12"/>
                <c:pt idx="0">
                  <c:v>2</c:v>
                </c:pt>
                <c:pt idx="1">
                  <c:v>0</c:v>
                </c:pt>
                <c:pt idx="2">
                  <c:v>2</c:v>
                </c:pt>
                <c:pt idx="3">
                  <c:v>10</c:v>
                </c:pt>
                <c:pt idx="4">
                  <c:v>7</c:v>
                </c:pt>
                <c:pt idx="5">
                  <c:v>2</c:v>
                </c:pt>
                <c:pt idx="6">
                  <c:v>3</c:v>
                </c:pt>
                <c:pt idx="7">
                  <c:v>1</c:v>
                </c:pt>
                <c:pt idx="8">
                  <c:v>1</c:v>
                </c:pt>
                <c:pt idx="9">
                  <c:v>0</c:v>
                </c:pt>
                <c:pt idx="10">
                  <c:v>0</c:v>
                </c:pt>
                <c:pt idx="11">
                  <c:v>46</c:v>
                </c:pt>
              </c:numCache>
            </c:numRef>
          </c:val>
        </c:ser>
        <c:dLbls>
          <c:showLegendKey val="0"/>
          <c:showVal val="0"/>
          <c:showCatName val="0"/>
          <c:showSerName val="0"/>
          <c:showPercent val="0"/>
          <c:showBubbleSize val="0"/>
        </c:dLbls>
        <c:gapWidth val="150"/>
        <c:overlap val="100"/>
        <c:axId val="387565056"/>
        <c:axId val="387566592"/>
      </c:barChart>
      <c:catAx>
        <c:axId val="387565056"/>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87566592"/>
        <c:crosses val="autoZero"/>
        <c:auto val="1"/>
        <c:lblAlgn val="ctr"/>
        <c:lblOffset val="100"/>
        <c:noMultiLvlLbl val="0"/>
      </c:catAx>
      <c:valAx>
        <c:axId val="387566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875650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33720810305216"/>
          <c:y val="0.340902777777778"/>
          <c:w val="0.879601533548144"/>
          <c:h val="0.472367125984252"/>
        </c:manualLayout>
      </c:layout>
      <c:barChart>
        <c:barDir val="col"/>
        <c:grouping val="clustered"/>
        <c:varyColors val="0"/>
        <c:ser>
          <c:idx val="0"/>
          <c:order val="0"/>
          <c:tx>
            <c:strRef>
              <c:f>Sheet1!$B$1</c:f>
              <c:strCache>
                <c:ptCount val="1"/>
                <c:pt idx="0">
                  <c:v>Uraian</c:v>
                </c:pt>
              </c:strCache>
            </c:strRef>
          </c:tx>
          <c:invertIfNegative val="0"/>
          <c:dLbls>
            <c:dLbl>
              <c:idx val="0"/>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93,25%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80,37%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172,50%</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19%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95%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6"/>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92%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7"/>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a:t>95%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numRef>
              <c:f>Sheet1!$A$2:$A$9</c:f>
              <c:numCache>
                <c:formatCode>General</c:formatCode>
                <c:ptCount val="8"/>
              </c:numCache>
            </c:numRef>
          </c:cat>
          <c:val>
            <c:numRef>
              <c:f>Sheet1!$B$2:$B$9</c:f>
              <c:numCache>
                <c:formatCode>0.00%</c:formatCode>
                <c:ptCount val="8"/>
                <c:pt idx="0">
                  <c:v>0.8136</c:v>
                </c:pt>
                <c:pt idx="1">
                  <c:v>0.5054</c:v>
                </c:pt>
                <c:pt idx="2">
                  <c:v>1.705</c:v>
                </c:pt>
                <c:pt idx="5" c:formatCode="0%">
                  <c:v>0.89</c:v>
                </c:pt>
                <c:pt idx="6" c:formatCode="0%">
                  <c:v>0.88</c:v>
                </c:pt>
                <c:pt idx="7" c:formatCode="0%">
                  <c:v>0.83</c:v>
                </c:pt>
              </c:numCache>
            </c:numRef>
          </c:val>
        </c:ser>
        <c:dLbls>
          <c:showLegendKey val="0"/>
          <c:showVal val="0"/>
          <c:showCatName val="0"/>
          <c:showSerName val="0"/>
          <c:showPercent val="0"/>
          <c:showBubbleSize val="0"/>
        </c:dLbls>
        <c:gapWidth val="247"/>
        <c:axId val="387527808"/>
        <c:axId val="387529344"/>
      </c:barChart>
      <c:lineChart>
        <c:grouping val="standard"/>
        <c:varyColors val="0"/>
        <c:ser>
          <c:idx val="1"/>
          <c:order val="1"/>
          <c:tx>
            <c:strRef>
              <c:f>Sheet1!$C$1</c:f>
              <c:strCache>
                <c:ptCount val="1"/>
                <c:pt idx="0">
                  <c:v>Persentase</c:v>
                </c:pt>
              </c:strCache>
            </c:strRef>
          </c:tx>
          <c:marker>
            <c:symbol val="none"/>
          </c:marker>
          <c:dLbls>
            <c:dLbl>
              <c:idx val="0"/>
              <c:layout>
                <c:manualLayout>
                  <c:x val="-0.133101675543569"/>
                  <c:y val="0.0714100320793234"/>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136 </a:t>
                    </a:r>
                    <a:r>
                      <a:rPr lang="en-US" dirty="0" err="1"/>
                      <a:t>koperasi</a:t>
                    </a:r>
                    <a:r>
                      <a:rPr lang="en-US" dirty="0"/>
                      <a:t> </a:t>
                    </a:r>
                    <a:r>
                      <a:rPr lang="en-US" dirty="0" err="1"/>
                      <a:t>aktif</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69407794613909"/>
                  <c:y val="0.0302279812297589"/>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3.127 UKM</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18592254281468"/>
                  <c:y val="0.0950280694079907"/>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1.732 Unit Bantuan Gratis/Program Prioritas</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04827227921811"/>
                  <c:y val="-0.100774642752989"/>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baseline="0" dirty="0"/>
                      <a:t>1.227 </a:t>
                    </a:r>
                    <a:r>
                      <a:rPr lang="en-US" baseline="0" dirty="0" err="1"/>
                      <a:t>Ju</a:t>
                    </a:r>
                    <a:r>
                      <a:rPr lang="en-US" baseline="0" dirty="0" err="1">
                        <a:solidFill>
                          <a:sysClr val="windowText" lastClr="000000"/>
                        </a:solidFill>
                      </a:rPr>
                      <a:t>mla</a:t>
                    </a:r>
                    <a:r>
                      <a:rPr lang="en-US" baseline="0" dirty="0" err="1"/>
                      <a:t>h</a:t>
                    </a:r>
                    <a:r>
                      <a:rPr lang="en-US" baseline="0" dirty="0"/>
                      <a:t> </a:t>
                    </a:r>
                    <a:r>
                      <a:rPr lang="en-US" baseline="0" dirty="0" err="1"/>
                      <a:t>Industri</a:t>
                    </a:r>
                    <a:r>
                      <a:rPr lang="en-US" baseline="0" dirty="0"/>
                      <a:t> </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50731158605174"/>
                  <c:y val="-0.177645086030913"/>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err="1"/>
                      <a:t>progres</a:t>
                    </a:r>
                    <a:r>
                      <a:rPr lang="en-US" dirty="0"/>
                      <a:t> </a:t>
                    </a:r>
                    <a:r>
                      <a:rPr lang="en-US" dirty="0" err="1"/>
                      <a:t>kawasan</a:t>
                    </a:r>
                    <a:r>
                      <a:rPr lang="en-US" baseline="0" dirty="0"/>
                      <a:t> </a:t>
                    </a:r>
                    <a:r>
                      <a:rPr lang="en-US" baseline="0" dirty="0" err="1"/>
                      <a:t>distribusi</a:t>
                    </a:r>
                    <a:r>
                      <a:rPr lang="en-US" baseline="0" dirty="0"/>
                      <a:t> </a:t>
                    </a:r>
                    <a:r>
                      <a:rPr lang="en-US" baseline="0" dirty="0" err="1"/>
                      <a:t>logistik</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6412933677408"/>
                  <c:y val="0.0229936088497412"/>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31 </a:t>
                    </a:r>
                    <a:r>
                      <a:rPr lang="en-US" dirty="0" err="1"/>
                      <a:t>Pasar</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8491107286288"/>
                  <c:y val="-0.0736595946340041"/>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1.843 </a:t>
                    </a:r>
                    <a:r>
                      <a:rPr lang="en-US" dirty="0" err="1"/>
                      <a:t>Pedagang</a:t>
                    </a:r>
                    <a:r>
                      <a:rPr lang="en-US" dirty="0"/>
                      <a:t> </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0241415606181757"/>
                  <c:y val="0.0457626130067075"/>
                </c:manualLayout>
              </c:layout>
              <c:tx>
                <c:rich>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r>
                      <a:rPr lang="en-US" dirty="0"/>
                      <a:t>758 </a:t>
                    </a:r>
                    <a:r>
                      <a:rPr lang="en-US" dirty="0" err="1"/>
                      <a:t>Alat</a:t>
                    </a:r>
                    <a:r>
                      <a:rPr lang="en-US" baseline="0" dirty="0"/>
                      <a:t> UTTP</a:t>
                    </a:r>
                    <a:endParaRPr lang="en-US" dirty="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numRef>
              <c:f>Sheet1!$A$2:$A$9</c:f>
              <c:numCache>
                <c:formatCode>General</c:formatCode>
                <c:ptCount val="8"/>
              </c:numCache>
            </c:numRef>
          </c:cat>
          <c:val>
            <c:numRef>
              <c:f>Sheet1!$C$2:$C$9</c:f>
              <c:numCache>
                <c:formatCode>0.00%</c:formatCode>
                <c:ptCount val="8"/>
                <c:pt idx="0">
                  <c:v>0</c:v>
                </c:pt>
                <c:pt idx="1">
                  <c:v>0</c:v>
                </c:pt>
                <c:pt idx="2">
                  <c:v>0</c:v>
                </c:pt>
                <c:pt idx="5" c:formatCode="General">
                  <c:v>0</c:v>
                </c:pt>
                <c:pt idx="6" c:formatCode="General">
                  <c:v>0</c:v>
                </c:pt>
                <c:pt idx="7" c:formatCode="General">
                  <c:v>0</c:v>
                </c:pt>
              </c:numCache>
            </c:numRef>
          </c:val>
          <c:smooth val="0"/>
        </c:ser>
        <c:dLbls>
          <c:showLegendKey val="0"/>
          <c:showVal val="0"/>
          <c:showCatName val="0"/>
          <c:showSerName val="0"/>
          <c:showPercent val="0"/>
          <c:showBubbleSize val="0"/>
        </c:dLbls>
        <c:marker val="0"/>
        <c:smooth val="0"/>
        <c:axId val="387527808"/>
        <c:axId val="387529344"/>
      </c:lineChart>
      <c:catAx>
        <c:axId val="38752780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87529344"/>
        <c:crosses val="autoZero"/>
        <c:auto val="1"/>
        <c:lblAlgn val="ctr"/>
        <c:lblOffset val="100"/>
        <c:noMultiLvlLbl val="0"/>
      </c:catAx>
      <c:valAx>
        <c:axId val="387529344"/>
        <c:scaling>
          <c:orientation val="minMax"/>
        </c:scaling>
        <c:delete val="0"/>
        <c:axPos val="l"/>
        <c:majorGridlines/>
        <c:numFmt formatCode="0.0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87527808"/>
        <c:crosses val="autoZero"/>
        <c:crossBetween val="between"/>
      </c:valAx>
    </c:plotArea>
    <c:plotVisOnly val="1"/>
    <c:dispBlanksAs val="gap"/>
    <c:showDLblsOverMax val="0"/>
  </c:chart>
  <c:txPr>
    <a:bodyPr/>
    <a:lstStyle/>
    <a:p>
      <a:pPr>
        <a:defRPr lang="en-US"/>
      </a:pPr>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9-10T10:00:20"/>
    </inkml:context>
    <inkml:brush xml:id="br0">
      <inkml:brushProperty name="width" value="0.05292" units="cm"/>
      <inkml:brushProperty name="height" value="0.05292" units="cm"/>
      <inkml:brushProperty name="color" value="#f80600"/>
    </inkml:brush>
  </inkml:definitions>
  <inkml:trace contextRef="#ctx0" brushRef="#br0">15834 754268,'0'0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9-10T10:00:20"/>
    </inkml:context>
    <inkml:brush xml:id="br0">
      <inkml:brushProperty name="width" value="0.05292" units="cm"/>
      <inkml:brushProperty name="height" value="0.05292" units="cm"/>
      <inkml:brushProperty name="color" value="#f80600"/>
    </inkml:brush>
  </inkml:definitions>
  <inkml:trace contextRef="#ctx0" brushRef="#br0">15834 754268,'0'0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9-10T10:00:20"/>
    </inkml:context>
    <inkml:brush xml:id="br0">
      <inkml:brushProperty name="width" value="0.05292" units="cm"/>
      <inkml:brushProperty name="height" value="0.05292" units="cm"/>
      <inkml:brushProperty name="color" value="#f80600"/>
    </inkml:brush>
  </inkml:definitions>
  <inkml:trace contextRef="#ctx0" brushRef="#br0">15834 754268,'0'0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73"/>
    <customShpInfo spid="_x0000_s2076"/>
    <customShpInfo spid="_x0000_s2075"/>
    <customShpInfo spid="_x0000_s2078"/>
    <customShpInfo spid="_x0000_s2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Words>
  <Characters>27</Characters>
  <Lines>1</Lines>
  <Paragraphs>1</Paragraphs>
  <TotalTime>30</TotalTime>
  <ScaleCrop>false</ScaleCrop>
  <LinksUpToDate>false</LinksUpToDate>
  <CharactersWithSpaces>30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2021-06-28T03:43:00Z</dcterms:created>
  <dc:creator>Windows User</dc:creator>
  <cp:lastModifiedBy>HP</cp:lastModifiedBy>
  <cp:lastPrinted>2021-09-28T01:29:00Z</cp:lastPrinted>
  <dcterms:modified xsi:type="dcterms:W3CDTF">2023-09-22T10:03:42Z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A11F7692B09C453F9423A4CA26579080_13</vt:lpwstr>
  </property>
</Properties>
</file>